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7F7F" w14:textId="1AACF1BA" w:rsidR="009909D6" w:rsidRDefault="009909D6" w:rsidP="009909D6">
      <w:pPr>
        <w:jc w:val="center"/>
        <w:rPr>
          <w:b/>
          <w:bCs/>
          <w:sz w:val="24"/>
          <w:szCs w:val="24"/>
        </w:rPr>
      </w:pPr>
    </w:p>
    <w:p w14:paraId="3929FF8F" w14:textId="37E1BA23" w:rsidR="009909D6" w:rsidRDefault="009909D6" w:rsidP="009909D6">
      <w:pPr>
        <w:jc w:val="center"/>
        <w:rPr>
          <w:b/>
          <w:bCs/>
          <w:sz w:val="24"/>
          <w:szCs w:val="24"/>
        </w:rPr>
      </w:pPr>
    </w:p>
    <w:p w14:paraId="4C13DE79" w14:textId="787A84BD" w:rsidR="009909D6" w:rsidRDefault="009909D6" w:rsidP="009909D6">
      <w:pPr>
        <w:jc w:val="center"/>
        <w:rPr>
          <w:b/>
          <w:bCs/>
          <w:sz w:val="24"/>
          <w:szCs w:val="24"/>
        </w:rPr>
      </w:pPr>
    </w:p>
    <w:p w14:paraId="5A6D9B04" w14:textId="75C0530F" w:rsidR="009909D6" w:rsidRDefault="009909D6" w:rsidP="009909D6">
      <w:pPr>
        <w:jc w:val="center"/>
        <w:rPr>
          <w:b/>
          <w:bCs/>
          <w:sz w:val="24"/>
          <w:szCs w:val="24"/>
        </w:rPr>
      </w:pPr>
    </w:p>
    <w:p w14:paraId="4DB69032" w14:textId="4B8928CF" w:rsidR="009909D6" w:rsidRDefault="009909D6" w:rsidP="009909D6">
      <w:pPr>
        <w:jc w:val="center"/>
        <w:rPr>
          <w:b/>
          <w:bCs/>
          <w:sz w:val="24"/>
          <w:szCs w:val="24"/>
        </w:rPr>
      </w:pPr>
    </w:p>
    <w:p w14:paraId="4A5AA8EB" w14:textId="77777777" w:rsidR="009909D6" w:rsidRDefault="009909D6" w:rsidP="009909D6">
      <w:pPr>
        <w:jc w:val="center"/>
        <w:rPr>
          <w:b/>
          <w:bCs/>
          <w:sz w:val="24"/>
          <w:szCs w:val="24"/>
        </w:rPr>
      </w:pPr>
    </w:p>
    <w:p w14:paraId="508C7E90" w14:textId="77777777" w:rsidR="009909D6" w:rsidRDefault="009909D6" w:rsidP="009909D6">
      <w:pPr>
        <w:jc w:val="center"/>
        <w:rPr>
          <w:b/>
          <w:bCs/>
          <w:sz w:val="24"/>
          <w:szCs w:val="24"/>
        </w:rPr>
      </w:pPr>
    </w:p>
    <w:p w14:paraId="7185874C" w14:textId="77777777" w:rsidR="009909D6" w:rsidRDefault="009909D6" w:rsidP="009909D6">
      <w:pPr>
        <w:jc w:val="center"/>
        <w:rPr>
          <w:b/>
          <w:bCs/>
          <w:sz w:val="24"/>
          <w:szCs w:val="24"/>
        </w:rPr>
      </w:pPr>
    </w:p>
    <w:p w14:paraId="1EB67137" w14:textId="0BA9B90C" w:rsidR="009909D6" w:rsidRPr="008F0D85" w:rsidRDefault="009909D6" w:rsidP="009909D6">
      <w:pPr>
        <w:jc w:val="center"/>
      </w:pPr>
    </w:p>
    <w:p w14:paraId="529EEC8F" w14:textId="5E5BAA18" w:rsidR="009909D6" w:rsidRPr="00395A39" w:rsidRDefault="006E757F" w:rsidP="2B307E93">
      <w:pPr>
        <w:rPr>
          <w:b/>
          <w:bCs/>
          <w:color w:val="3E5C60"/>
          <w:sz w:val="56"/>
          <w:szCs w:val="56"/>
        </w:rPr>
      </w:pPr>
      <w:r w:rsidRPr="00395A39">
        <w:rPr>
          <w:b/>
          <w:bCs/>
          <w:color w:val="3E5C60"/>
          <w:sz w:val="56"/>
          <w:szCs w:val="56"/>
        </w:rPr>
        <w:t>G</w:t>
      </w:r>
      <w:r w:rsidR="71F8A94C" w:rsidRPr="00395A39">
        <w:rPr>
          <w:b/>
          <w:bCs/>
          <w:color w:val="3E5C60"/>
          <w:sz w:val="56"/>
          <w:szCs w:val="56"/>
        </w:rPr>
        <w:t>reenhouse Gas</w:t>
      </w:r>
      <w:r w:rsidR="3353C41B" w:rsidRPr="00395A39">
        <w:rPr>
          <w:b/>
          <w:bCs/>
          <w:color w:val="3E5C60"/>
          <w:sz w:val="56"/>
          <w:szCs w:val="56"/>
        </w:rPr>
        <w:t xml:space="preserve"> Emissions</w:t>
      </w:r>
      <w:r w:rsidR="71F8A94C" w:rsidRPr="00395A39">
        <w:rPr>
          <w:b/>
          <w:bCs/>
          <w:color w:val="3E5C60"/>
          <w:sz w:val="56"/>
          <w:szCs w:val="56"/>
        </w:rPr>
        <w:t xml:space="preserve"> </w:t>
      </w:r>
      <w:r w:rsidR="009909D6" w:rsidRPr="00395A39">
        <w:rPr>
          <w:b/>
          <w:bCs/>
          <w:color w:val="3E5C60"/>
          <w:sz w:val="56"/>
          <w:szCs w:val="56"/>
        </w:rPr>
        <w:t>Methodology Report</w:t>
      </w:r>
    </w:p>
    <w:p w14:paraId="45FFFEF3" w14:textId="542E99A1" w:rsidR="2B307E93" w:rsidRPr="00395A39" w:rsidRDefault="2B307E93" w:rsidP="2B307E93">
      <w:pPr>
        <w:rPr>
          <w:b/>
          <w:bCs/>
          <w:color w:val="3E5C60"/>
          <w:sz w:val="56"/>
          <w:szCs w:val="56"/>
        </w:rPr>
      </w:pPr>
    </w:p>
    <w:p w14:paraId="4FACAEE1" w14:textId="37F911D9" w:rsidR="11F60709" w:rsidRPr="00395A39" w:rsidRDefault="11F60709" w:rsidP="2B307E93">
      <w:pPr>
        <w:rPr>
          <w:b/>
          <w:bCs/>
          <w:color w:val="3E5C60"/>
          <w:sz w:val="56"/>
          <w:szCs w:val="56"/>
        </w:rPr>
      </w:pPr>
      <w:r w:rsidRPr="00395A39">
        <w:rPr>
          <w:b/>
          <w:bCs/>
          <w:color w:val="3E5C60"/>
          <w:sz w:val="56"/>
          <w:szCs w:val="56"/>
        </w:rPr>
        <w:t>202</w:t>
      </w:r>
      <w:r w:rsidR="00B5018A">
        <w:rPr>
          <w:b/>
          <w:bCs/>
          <w:color w:val="3E5C60"/>
          <w:sz w:val="56"/>
          <w:szCs w:val="56"/>
        </w:rPr>
        <w:t>4</w:t>
      </w:r>
    </w:p>
    <w:p w14:paraId="340D1593" w14:textId="77777777" w:rsidR="00E84A11" w:rsidRDefault="00E84A11" w:rsidP="008E1DF5">
      <w:pPr>
        <w:jc w:val="center"/>
        <w:rPr>
          <w:b/>
          <w:bCs/>
          <w:sz w:val="24"/>
          <w:szCs w:val="24"/>
        </w:rPr>
      </w:pPr>
    </w:p>
    <w:p w14:paraId="3F66243A" w14:textId="32020210" w:rsidR="00E97380" w:rsidRDefault="00E97380" w:rsidP="008E1DF5">
      <w:pPr>
        <w:jc w:val="center"/>
        <w:rPr>
          <w:b/>
          <w:bCs/>
          <w:sz w:val="24"/>
          <w:szCs w:val="24"/>
        </w:rPr>
        <w:sectPr w:rsidR="00E97380" w:rsidSect="00966C9A">
          <w:headerReference w:type="default" r:id="rId11"/>
          <w:footerReference w:type="default" r:id="rId12"/>
          <w:footnotePr>
            <w:numRestart w:val="eachPage"/>
          </w:footnotePr>
          <w:pgSz w:w="11906" w:h="16838"/>
          <w:pgMar w:top="1440" w:right="1440" w:bottom="1440" w:left="1440" w:header="708" w:footer="708" w:gutter="0"/>
          <w:pgNumType w:start="2"/>
          <w:cols w:space="708"/>
          <w:docGrid w:linePitch="360"/>
        </w:sectPr>
      </w:pPr>
    </w:p>
    <w:sdt>
      <w:sdtPr>
        <w:rPr>
          <w:rFonts w:ascii="Verdana" w:eastAsiaTheme="minorHAnsi" w:hAnsi="Verdana" w:cstheme="minorBidi"/>
          <w:color w:val="auto"/>
          <w:kern w:val="2"/>
          <w:sz w:val="22"/>
          <w:szCs w:val="22"/>
          <w:lang w:val="en-GB"/>
          <w14:ligatures w14:val="standardContextual"/>
        </w:rPr>
        <w:id w:val="-1999650390"/>
        <w:docPartObj>
          <w:docPartGallery w:val="Table of Contents"/>
          <w:docPartUnique/>
        </w:docPartObj>
      </w:sdtPr>
      <w:sdtEndPr>
        <w:rPr>
          <w:b/>
          <w:bCs/>
          <w:noProof/>
        </w:rPr>
      </w:sdtEndPr>
      <w:sdtContent>
        <w:p w14:paraId="40019CF5" w14:textId="3BA502C4" w:rsidR="00BF46A2" w:rsidRPr="00BF46A2" w:rsidRDefault="00BF46A2">
          <w:pPr>
            <w:pStyle w:val="TOCHeading"/>
            <w:rPr>
              <w:rStyle w:val="Heading1Char"/>
            </w:rPr>
          </w:pPr>
          <w:r w:rsidRPr="00BF46A2">
            <w:rPr>
              <w:rStyle w:val="Heading1Char"/>
            </w:rPr>
            <w:t>Contents</w:t>
          </w:r>
        </w:p>
        <w:p w14:paraId="54EFFD1C" w14:textId="07AB06B2" w:rsidR="006C76AB" w:rsidRDefault="00BF46A2">
          <w:pPr>
            <w:pStyle w:val="TOC1"/>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194670358" w:history="1">
            <w:r w:rsidR="006C76AB" w:rsidRPr="00CE1370">
              <w:rPr>
                <w:rStyle w:val="Hyperlink"/>
                <w:noProof/>
              </w:rPr>
              <w:t>Overview</w:t>
            </w:r>
            <w:r w:rsidR="006C76AB">
              <w:rPr>
                <w:noProof/>
                <w:webHidden/>
              </w:rPr>
              <w:tab/>
            </w:r>
            <w:r w:rsidR="006C76AB">
              <w:rPr>
                <w:noProof/>
                <w:webHidden/>
              </w:rPr>
              <w:fldChar w:fldCharType="begin"/>
            </w:r>
            <w:r w:rsidR="006C76AB">
              <w:rPr>
                <w:noProof/>
                <w:webHidden/>
              </w:rPr>
              <w:instrText xml:space="preserve"> PAGEREF _Toc194670358 \h </w:instrText>
            </w:r>
            <w:r w:rsidR="006C76AB">
              <w:rPr>
                <w:noProof/>
                <w:webHidden/>
              </w:rPr>
            </w:r>
            <w:r w:rsidR="006C76AB">
              <w:rPr>
                <w:noProof/>
                <w:webHidden/>
              </w:rPr>
              <w:fldChar w:fldCharType="separate"/>
            </w:r>
            <w:r w:rsidR="006C76AB">
              <w:rPr>
                <w:noProof/>
                <w:webHidden/>
              </w:rPr>
              <w:t>2</w:t>
            </w:r>
            <w:r w:rsidR="006C76AB">
              <w:rPr>
                <w:noProof/>
                <w:webHidden/>
              </w:rPr>
              <w:fldChar w:fldCharType="end"/>
            </w:r>
          </w:hyperlink>
        </w:p>
        <w:p w14:paraId="15CDF384" w14:textId="47B80595" w:rsidR="006C76AB" w:rsidRDefault="006C76AB">
          <w:pPr>
            <w:pStyle w:val="TOC1"/>
            <w:rPr>
              <w:rFonts w:asciiTheme="minorHAnsi" w:eastAsiaTheme="minorEastAsia" w:hAnsiTheme="minorHAnsi"/>
              <w:noProof/>
              <w:sz w:val="24"/>
              <w:szCs w:val="24"/>
              <w:lang w:eastAsia="en-GB"/>
            </w:rPr>
          </w:pPr>
          <w:hyperlink w:anchor="_Toc194670359" w:history="1">
            <w:r w:rsidRPr="00CE1370">
              <w:rPr>
                <w:rStyle w:val="Hyperlink"/>
                <w:noProof/>
              </w:rPr>
              <w:t>Our emissions</w:t>
            </w:r>
            <w:r>
              <w:rPr>
                <w:noProof/>
                <w:webHidden/>
              </w:rPr>
              <w:tab/>
            </w:r>
            <w:r>
              <w:rPr>
                <w:noProof/>
                <w:webHidden/>
              </w:rPr>
              <w:fldChar w:fldCharType="begin"/>
            </w:r>
            <w:r>
              <w:rPr>
                <w:noProof/>
                <w:webHidden/>
              </w:rPr>
              <w:instrText xml:space="preserve"> PAGEREF _Toc194670359 \h </w:instrText>
            </w:r>
            <w:r>
              <w:rPr>
                <w:noProof/>
                <w:webHidden/>
              </w:rPr>
            </w:r>
            <w:r>
              <w:rPr>
                <w:noProof/>
                <w:webHidden/>
              </w:rPr>
              <w:fldChar w:fldCharType="separate"/>
            </w:r>
            <w:r>
              <w:rPr>
                <w:noProof/>
                <w:webHidden/>
              </w:rPr>
              <w:t>3</w:t>
            </w:r>
            <w:r>
              <w:rPr>
                <w:noProof/>
                <w:webHidden/>
              </w:rPr>
              <w:fldChar w:fldCharType="end"/>
            </w:r>
          </w:hyperlink>
        </w:p>
        <w:p w14:paraId="1903C85A" w14:textId="4BFE64CE" w:rsidR="006C76AB" w:rsidRDefault="006C76AB">
          <w:pPr>
            <w:pStyle w:val="TOC1"/>
            <w:rPr>
              <w:rFonts w:asciiTheme="minorHAnsi" w:eastAsiaTheme="minorEastAsia" w:hAnsiTheme="minorHAnsi"/>
              <w:noProof/>
              <w:sz w:val="24"/>
              <w:szCs w:val="24"/>
              <w:lang w:eastAsia="en-GB"/>
            </w:rPr>
          </w:pPr>
          <w:hyperlink w:anchor="_Toc194670360" w:history="1">
            <w:r w:rsidRPr="00CE1370">
              <w:rPr>
                <w:rStyle w:val="Hyperlink"/>
                <w:noProof/>
              </w:rPr>
              <w:t>Organisational boundary</w:t>
            </w:r>
            <w:r>
              <w:rPr>
                <w:noProof/>
                <w:webHidden/>
              </w:rPr>
              <w:tab/>
            </w:r>
            <w:r>
              <w:rPr>
                <w:noProof/>
                <w:webHidden/>
              </w:rPr>
              <w:fldChar w:fldCharType="begin"/>
            </w:r>
            <w:r>
              <w:rPr>
                <w:noProof/>
                <w:webHidden/>
              </w:rPr>
              <w:instrText xml:space="preserve"> PAGEREF _Toc194670360 \h </w:instrText>
            </w:r>
            <w:r>
              <w:rPr>
                <w:noProof/>
                <w:webHidden/>
              </w:rPr>
            </w:r>
            <w:r>
              <w:rPr>
                <w:noProof/>
                <w:webHidden/>
              </w:rPr>
              <w:fldChar w:fldCharType="separate"/>
            </w:r>
            <w:r>
              <w:rPr>
                <w:noProof/>
                <w:webHidden/>
              </w:rPr>
              <w:t>3</w:t>
            </w:r>
            <w:r>
              <w:rPr>
                <w:noProof/>
                <w:webHidden/>
              </w:rPr>
              <w:fldChar w:fldCharType="end"/>
            </w:r>
          </w:hyperlink>
        </w:p>
        <w:p w14:paraId="4129DD6B" w14:textId="5FCE2846" w:rsidR="006C76AB" w:rsidRDefault="006C76AB">
          <w:pPr>
            <w:pStyle w:val="TOC1"/>
            <w:rPr>
              <w:rFonts w:asciiTheme="minorHAnsi" w:eastAsiaTheme="minorEastAsia" w:hAnsiTheme="minorHAnsi"/>
              <w:noProof/>
              <w:sz w:val="24"/>
              <w:szCs w:val="24"/>
              <w:lang w:eastAsia="en-GB"/>
            </w:rPr>
          </w:pPr>
          <w:hyperlink w:anchor="_Toc194670361" w:history="1">
            <w:r w:rsidRPr="00CE1370">
              <w:rPr>
                <w:rStyle w:val="Hyperlink"/>
                <w:noProof/>
              </w:rPr>
              <w:t>Scope 1 and Scope 2: methodology overview</w:t>
            </w:r>
            <w:r>
              <w:rPr>
                <w:noProof/>
                <w:webHidden/>
              </w:rPr>
              <w:tab/>
            </w:r>
            <w:r>
              <w:rPr>
                <w:noProof/>
                <w:webHidden/>
              </w:rPr>
              <w:fldChar w:fldCharType="begin"/>
            </w:r>
            <w:r>
              <w:rPr>
                <w:noProof/>
                <w:webHidden/>
              </w:rPr>
              <w:instrText xml:space="preserve"> PAGEREF _Toc194670361 \h </w:instrText>
            </w:r>
            <w:r>
              <w:rPr>
                <w:noProof/>
                <w:webHidden/>
              </w:rPr>
            </w:r>
            <w:r>
              <w:rPr>
                <w:noProof/>
                <w:webHidden/>
              </w:rPr>
              <w:fldChar w:fldCharType="separate"/>
            </w:r>
            <w:r>
              <w:rPr>
                <w:noProof/>
                <w:webHidden/>
              </w:rPr>
              <w:t>4</w:t>
            </w:r>
            <w:r>
              <w:rPr>
                <w:noProof/>
                <w:webHidden/>
              </w:rPr>
              <w:fldChar w:fldCharType="end"/>
            </w:r>
          </w:hyperlink>
        </w:p>
        <w:p w14:paraId="7E20189A" w14:textId="75513E40" w:rsidR="006C76AB" w:rsidRDefault="006C76AB">
          <w:pPr>
            <w:pStyle w:val="TOC2"/>
            <w:tabs>
              <w:tab w:val="right" w:leader="dot" w:pos="9016"/>
            </w:tabs>
            <w:rPr>
              <w:rFonts w:asciiTheme="minorHAnsi" w:eastAsiaTheme="minorEastAsia" w:hAnsiTheme="minorHAnsi"/>
              <w:noProof/>
              <w:sz w:val="24"/>
              <w:szCs w:val="24"/>
              <w:lang w:eastAsia="en-GB"/>
            </w:rPr>
          </w:pPr>
          <w:hyperlink w:anchor="_Toc194670362" w:history="1">
            <w:r w:rsidRPr="00CE1370">
              <w:rPr>
                <w:rStyle w:val="Hyperlink"/>
                <w:noProof/>
              </w:rPr>
              <w:t>Scope 1</w:t>
            </w:r>
            <w:r>
              <w:rPr>
                <w:noProof/>
                <w:webHidden/>
              </w:rPr>
              <w:tab/>
            </w:r>
            <w:r>
              <w:rPr>
                <w:noProof/>
                <w:webHidden/>
              </w:rPr>
              <w:fldChar w:fldCharType="begin"/>
            </w:r>
            <w:r>
              <w:rPr>
                <w:noProof/>
                <w:webHidden/>
              </w:rPr>
              <w:instrText xml:space="preserve"> PAGEREF _Toc194670362 \h </w:instrText>
            </w:r>
            <w:r>
              <w:rPr>
                <w:noProof/>
                <w:webHidden/>
              </w:rPr>
            </w:r>
            <w:r>
              <w:rPr>
                <w:noProof/>
                <w:webHidden/>
              </w:rPr>
              <w:fldChar w:fldCharType="separate"/>
            </w:r>
            <w:r>
              <w:rPr>
                <w:noProof/>
                <w:webHidden/>
              </w:rPr>
              <w:t>4</w:t>
            </w:r>
            <w:r>
              <w:rPr>
                <w:noProof/>
                <w:webHidden/>
              </w:rPr>
              <w:fldChar w:fldCharType="end"/>
            </w:r>
          </w:hyperlink>
        </w:p>
        <w:p w14:paraId="305CB7C5" w14:textId="31A27059" w:rsidR="006C76AB" w:rsidRDefault="006C76AB">
          <w:pPr>
            <w:pStyle w:val="TOC2"/>
            <w:tabs>
              <w:tab w:val="right" w:leader="dot" w:pos="9016"/>
            </w:tabs>
            <w:rPr>
              <w:rFonts w:asciiTheme="minorHAnsi" w:eastAsiaTheme="minorEastAsia" w:hAnsiTheme="minorHAnsi"/>
              <w:noProof/>
              <w:sz w:val="24"/>
              <w:szCs w:val="24"/>
              <w:lang w:eastAsia="en-GB"/>
            </w:rPr>
          </w:pPr>
          <w:hyperlink w:anchor="_Toc194670363" w:history="1">
            <w:r w:rsidRPr="00CE1370">
              <w:rPr>
                <w:rStyle w:val="Hyperlink"/>
                <w:noProof/>
              </w:rPr>
              <w:t>Scope 2</w:t>
            </w:r>
            <w:r>
              <w:rPr>
                <w:noProof/>
                <w:webHidden/>
              </w:rPr>
              <w:tab/>
            </w:r>
            <w:r>
              <w:rPr>
                <w:noProof/>
                <w:webHidden/>
              </w:rPr>
              <w:fldChar w:fldCharType="begin"/>
            </w:r>
            <w:r>
              <w:rPr>
                <w:noProof/>
                <w:webHidden/>
              </w:rPr>
              <w:instrText xml:space="preserve"> PAGEREF _Toc194670363 \h </w:instrText>
            </w:r>
            <w:r>
              <w:rPr>
                <w:noProof/>
                <w:webHidden/>
              </w:rPr>
            </w:r>
            <w:r>
              <w:rPr>
                <w:noProof/>
                <w:webHidden/>
              </w:rPr>
              <w:fldChar w:fldCharType="separate"/>
            </w:r>
            <w:r>
              <w:rPr>
                <w:noProof/>
                <w:webHidden/>
              </w:rPr>
              <w:t>5</w:t>
            </w:r>
            <w:r>
              <w:rPr>
                <w:noProof/>
                <w:webHidden/>
              </w:rPr>
              <w:fldChar w:fldCharType="end"/>
            </w:r>
          </w:hyperlink>
        </w:p>
        <w:p w14:paraId="7002C2BA" w14:textId="0965C353" w:rsidR="006C76AB" w:rsidRDefault="006C76AB">
          <w:pPr>
            <w:pStyle w:val="TOC1"/>
            <w:rPr>
              <w:rFonts w:asciiTheme="minorHAnsi" w:eastAsiaTheme="minorEastAsia" w:hAnsiTheme="minorHAnsi"/>
              <w:noProof/>
              <w:sz w:val="24"/>
              <w:szCs w:val="24"/>
              <w:lang w:eastAsia="en-GB"/>
            </w:rPr>
          </w:pPr>
          <w:hyperlink w:anchor="_Toc194670364" w:history="1">
            <w:r w:rsidRPr="00CE1370">
              <w:rPr>
                <w:rStyle w:val="Hyperlink"/>
                <w:noProof/>
              </w:rPr>
              <w:t>CAML’s Scope 3: methodology and summary</w:t>
            </w:r>
            <w:r>
              <w:rPr>
                <w:noProof/>
                <w:webHidden/>
              </w:rPr>
              <w:tab/>
            </w:r>
            <w:r>
              <w:rPr>
                <w:noProof/>
                <w:webHidden/>
              </w:rPr>
              <w:fldChar w:fldCharType="begin"/>
            </w:r>
            <w:r>
              <w:rPr>
                <w:noProof/>
                <w:webHidden/>
              </w:rPr>
              <w:instrText xml:space="preserve"> PAGEREF _Toc194670364 \h </w:instrText>
            </w:r>
            <w:r>
              <w:rPr>
                <w:noProof/>
                <w:webHidden/>
              </w:rPr>
            </w:r>
            <w:r>
              <w:rPr>
                <w:noProof/>
                <w:webHidden/>
              </w:rPr>
              <w:fldChar w:fldCharType="separate"/>
            </w:r>
            <w:r>
              <w:rPr>
                <w:noProof/>
                <w:webHidden/>
              </w:rPr>
              <w:t>6</w:t>
            </w:r>
            <w:r>
              <w:rPr>
                <w:noProof/>
                <w:webHidden/>
              </w:rPr>
              <w:fldChar w:fldCharType="end"/>
            </w:r>
          </w:hyperlink>
        </w:p>
        <w:p w14:paraId="34F54252" w14:textId="250C3CC5" w:rsidR="006C76AB" w:rsidRDefault="006C76AB">
          <w:pPr>
            <w:pStyle w:val="TOC2"/>
            <w:tabs>
              <w:tab w:val="right" w:leader="dot" w:pos="9016"/>
            </w:tabs>
            <w:rPr>
              <w:rFonts w:asciiTheme="minorHAnsi" w:eastAsiaTheme="minorEastAsia" w:hAnsiTheme="minorHAnsi"/>
              <w:noProof/>
              <w:sz w:val="24"/>
              <w:szCs w:val="24"/>
              <w:lang w:eastAsia="en-GB"/>
            </w:rPr>
          </w:pPr>
          <w:hyperlink w:anchor="_Toc194670365" w:history="1">
            <w:r w:rsidRPr="00CE1370">
              <w:rPr>
                <w:rStyle w:val="Hyperlink"/>
                <w:noProof/>
              </w:rPr>
              <w:t>Scope 3</w:t>
            </w:r>
            <w:r>
              <w:rPr>
                <w:noProof/>
                <w:webHidden/>
              </w:rPr>
              <w:tab/>
            </w:r>
            <w:r>
              <w:rPr>
                <w:noProof/>
                <w:webHidden/>
              </w:rPr>
              <w:fldChar w:fldCharType="begin"/>
            </w:r>
            <w:r>
              <w:rPr>
                <w:noProof/>
                <w:webHidden/>
              </w:rPr>
              <w:instrText xml:space="preserve"> PAGEREF _Toc194670365 \h </w:instrText>
            </w:r>
            <w:r>
              <w:rPr>
                <w:noProof/>
                <w:webHidden/>
              </w:rPr>
            </w:r>
            <w:r>
              <w:rPr>
                <w:noProof/>
                <w:webHidden/>
              </w:rPr>
              <w:fldChar w:fldCharType="separate"/>
            </w:r>
            <w:r>
              <w:rPr>
                <w:noProof/>
                <w:webHidden/>
              </w:rPr>
              <w:t>6</w:t>
            </w:r>
            <w:r>
              <w:rPr>
                <w:noProof/>
                <w:webHidden/>
              </w:rPr>
              <w:fldChar w:fldCharType="end"/>
            </w:r>
          </w:hyperlink>
        </w:p>
        <w:p w14:paraId="3FFE1B3B" w14:textId="523980E4" w:rsidR="006C76AB" w:rsidRDefault="006C76AB">
          <w:pPr>
            <w:pStyle w:val="TOC2"/>
            <w:tabs>
              <w:tab w:val="right" w:leader="dot" w:pos="9016"/>
            </w:tabs>
            <w:rPr>
              <w:rFonts w:asciiTheme="minorHAnsi" w:eastAsiaTheme="minorEastAsia" w:hAnsiTheme="minorHAnsi"/>
              <w:noProof/>
              <w:sz w:val="24"/>
              <w:szCs w:val="24"/>
              <w:lang w:eastAsia="en-GB"/>
            </w:rPr>
          </w:pPr>
          <w:hyperlink w:anchor="_Toc194670366" w:history="1">
            <w:r w:rsidRPr="00CE1370">
              <w:rPr>
                <w:rStyle w:val="Hyperlink"/>
                <w:noProof/>
              </w:rPr>
              <w:t>Definition</w:t>
            </w:r>
            <w:r>
              <w:rPr>
                <w:noProof/>
                <w:webHidden/>
              </w:rPr>
              <w:tab/>
            </w:r>
            <w:r>
              <w:rPr>
                <w:noProof/>
                <w:webHidden/>
              </w:rPr>
              <w:fldChar w:fldCharType="begin"/>
            </w:r>
            <w:r>
              <w:rPr>
                <w:noProof/>
                <w:webHidden/>
              </w:rPr>
              <w:instrText xml:space="preserve"> PAGEREF _Toc194670366 \h </w:instrText>
            </w:r>
            <w:r>
              <w:rPr>
                <w:noProof/>
                <w:webHidden/>
              </w:rPr>
            </w:r>
            <w:r>
              <w:rPr>
                <w:noProof/>
                <w:webHidden/>
              </w:rPr>
              <w:fldChar w:fldCharType="separate"/>
            </w:r>
            <w:r>
              <w:rPr>
                <w:noProof/>
                <w:webHidden/>
              </w:rPr>
              <w:t>6</w:t>
            </w:r>
            <w:r>
              <w:rPr>
                <w:noProof/>
                <w:webHidden/>
              </w:rPr>
              <w:fldChar w:fldCharType="end"/>
            </w:r>
          </w:hyperlink>
        </w:p>
        <w:p w14:paraId="12677F4D" w14:textId="4D7A6DF8" w:rsidR="006C76AB" w:rsidRDefault="006C76AB">
          <w:pPr>
            <w:pStyle w:val="TOC2"/>
            <w:tabs>
              <w:tab w:val="right" w:leader="dot" w:pos="9016"/>
            </w:tabs>
            <w:rPr>
              <w:rFonts w:asciiTheme="minorHAnsi" w:eastAsiaTheme="minorEastAsia" w:hAnsiTheme="minorHAnsi"/>
              <w:noProof/>
              <w:sz w:val="24"/>
              <w:szCs w:val="24"/>
              <w:lang w:eastAsia="en-GB"/>
            </w:rPr>
          </w:pPr>
          <w:hyperlink w:anchor="_Toc194670367" w:history="1">
            <w:r w:rsidRPr="00CE1370">
              <w:rPr>
                <w:rStyle w:val="Hyperlink"/>
                <w:noProof/>
              </w:rPr>
              <w:t>Approach</w:t>
            </w:r>
            <w:r>
              <w:rPr>
                <w:noProof/>
                <w:webHidden/>
              </w:rPr>
              <w:tab/>
            </w:r>
            <w:r>
              <w:rPr>
                <w:noProof/>
                <w:webHidden/>
              </w:rPr>
              <w:fldChar w:fldCharType="begin"/>
            </w:r>
            <w:r>
              <w:rPr>
                <w:noProof/>
                <w:webHidden/>
              </w:rPr>
              <w:instrText xml:space="preserve"> PAGEREF _Toc194670367 \h </w:instrText>
            </w:r>
            <w:r>
              <w:rPr>
                <w:noProof/>
                <w:webHidden/>
              </w:rPr>
            </w:r>
            <w:r>
              <w:rPr>
                <w:noProof/>
                <w:webHidden/>
              </w:rPr>
              <w:fldChar w:fldCharType="separate"/>
            </w:r>
            <w:r>
              <w:rPr>
                <w:noProof/>
                <w:webHidden/>
              </w:rPr>
              <w:t>6</w:t>
            </w:r>
            <w:r>
              <w:rPr>
                <w:noProof/>
                <w:webHidden/>
              </w:rPr>
              <w:fldChar w:fldCharType="end"/>
            </w:r>
          </w:hyperlink>
        </w:p>
        <w:p w14:paraId="278B70C9" w14:textId="60060FEF" w:rsidR="006C76AB" w:rsidRDefault="006C76AB">
          <w:pPr>
            <w:pStyle w:val="TOC2"/>
            <w:tabs>
              <w:tab w:val="right" w:leader="dot" w:pos="9016"/>
            </w:tabs>
            <w:rPr>
              <w:rFonts w:asciiTheme="minorHAnsi" w:eastAsiaTheme="minorEastAsia" w:hAnsiTheme="minorHAnsi"/>
              <w:noProof/>
              <w:sz w:val="24"/>
              <w:szCs w:val="24"/>
              <w:lang w:eastAsia="en-GB"/>
            </w:rPr>
          </w:pPr>
          <w:hyperlink w:anchor="_Toc194670368" w:history="1">
            <w:r w:rsidRPr="00CE1370">
              <w:rPr>
                <w:rStyle w:val="Hyperlink"/>
                <w:noProof/>
              </w:rPr>
              <w:t>Scope 3 summary emissions</w:t>
            </w:r>
            <w:r>
              <w:rPr>
                <w:noProof/>
                <w:webHidden/>
              </w:rPr>
              <w:tab/>
            </w:r>
            <w:r>
              <w:rPr>
                <w:noProof/>
                <w:webHidden/>
              </w:rPr>
              <w:fldChar w:fldCharType="begin"/>
            </w:r>
            <w:r>
              <w:rPr>
                <w:noProof/>
                <w:webHidden/>
              </w:rPr>
              <w:instrText xml:space="preserve"> PAGEREF _Toc194670368 \h </w:instrText>
            </w:r>
            <w:r>
              <w:rPr>
                <w:noProof/>
                <w:webHidden/>
              </w:rPr>
            </w:r>
            <w:r>
              <w:rPr>
                <w:noProof/>
                <w:webHidden/>
              </w:rPr>
              <w:fldChar w:fldCharType="separate"/>
            </w:r>
            <w:r>
              <w:rPr>
                <w:noProof/>
                <w:webHidden/>
              </w:rPr>
              <w:t>1</w:t>
            </w:r>
            <w:r>
              <w:rPr>
                <w:noProof/>
                <w:webHidden/>
              </w:rPr>
              <w:fldChar w:fldCharType="end"/>
            </w:r>
          </w:hyperlink>
        </w:p>
        <w:p w14:paraId="2B729142" w14:textId="3421E03E" w:rsidR="006C76AB" w:rsidRDefault="006C76AB">
          <w:pPr>
            <w:pStyle w:val="TOC2"/>
            <w:tabs>
              <w:tab w:val="right" w:leader="dot" w:pos="9016"/>
            </w:tabs>
            <w:rPr>
              <w:rFonts w:asciiTheme="minorHAnsi" w:eastAsiaTheme="minorEastAsia" w:hAnsiTheme="minorHAnsi"/>
              <w:noProof/>
              <w:sz w:val="24"/>
              <w:szCs w:val="24"/>
              <w:lang w:eastAsia="en-GB"/>
            </w:rPr>
          </w:pPr>
          <w:hyperlink w:anchor="_Toc194670369" w:history="1">
            <w:r w:rsidRPr="00CE1370">
              <w:rPr>
                <w:rStyle w:val="Hyperlink"/>
                <w:noProof/>
              </w:rPr>
              <w:t>Scope 3 emissions methodology details</w:t>
            </w:r>
            <w:r>
              <w:rPr>
                <w:noProof/>
                <w:webHidden/>
              </w:rPr>
              <w:tab/>
            </w:r>
            <w:r>
              <w:rPr>
                <w:noProof/>
                <w:webHidden/>
              </w:rPr>
              <w:fldChar w:fldCharType="begin"/>
            </w:r>
            <w:r>
              <w:rPr>
                <w:noProof/>
                <w:webHidden/>
              </w:rPr>
              <w:instrText xml:space="preserve"> PAGEREF _Toc194670369 \h </w:instrText>
            </w:r>
            <w:r>
              <w:rPr>
                <w:noProof/>
                <w:webHidden/>
              </w:rPr>
            </w:r>
            <w:r>
              <w:rPr>
                <w:noProof/>
                <w:webHidden/>
              </w:rPr>
              <w:fldChar w:fldCharType="separate"/>
            </w:r>
            <w:r>
              <w:rPr>
                <w:noProof/>
                <w:webHidden/>
              </w:rPr>
              <w:t>2</w:t>
            </w:r>
            <w:r>
              <w:rPr>
                <w:noProof/>
                <w:webHidden/>
              </w:rPr>
              <w:fldChar w:fldCharType="end"/>
            </w:r>
          </w:hyperlink>
        </w:p>
        <w:p w14:paraId="653B5A54" w14:textId="5E448835" w:rsidR="006C76AB" w:rsidRDefault="006C76AB">
          <w:pPr>
            <w:pStyle w:val="TOC3"/>
            <w:rPr>
              <w:rFonts w:asciiTheme="minorHAnsi" w:eastAsiaTheme="minorEastAsia" w:hAnsiTheme="minorHAnsi"/>
              <w:noProof/>
              <w:sz w:val="24"/>
              <w:szCs w:val="24"/>
              <w:lang w:eastAsia="en-GB"/>
            </w:rPr>
          </w:pPr>
          <w:hyperlink w:anchor="_Toc194670370" w:history="1">
            <w:r w:rsidRPr="00CE1370">
              <w:rPr>
                <w:rStyle w:val="Hyperlink"/>
                <w:noProof/>
              </w:rPr>
              <w:t>Category 1 - Purchased goods and services</w:t>
            </w:r>
            <w:r>
              <w:rPr>
                <w:noProof/>
                <w:webHidden/>
              </w:rPr>
              <w:tab/>
            </w:r>
            <w:r>
              <w:rPr>
                <w:noProof/>
                <w:webHidden/>
              </w:rPr>
              <w:fldChar w:fldCharType="begin"/>
            </w:r>
            <w:r>
              <w:rPr>
                <w:noProof/>
                <w:webHidden/>
              </w:rPr>
              <w:instrText xml:space="preserve"> PAGEREF _Toc194670370 \h </w:instrText>
            </w:r>
            <w:r>
              <w:rPr>
                <w:noProof/>
                <w:webHidden/>
              </w:rPr>
            </w:r>
            <w:r>
              <w:rPr>
                <w:noProof/>
                <w:webHidden/>
              </w:rPr>
              <w:fldChar w:fldCharType="separate"/>
            </w:r>
            <w:r>
              <w:rPr>
                <w:noProof/>
                <w:webHidden/>
              </w:rPr>
              <w:t>2</w:t>
            </w:r>
            <w:r>
              <w:rPr>
                <w:noProof/>
                <w:webHidden/>
              </w:rPr>
              <w:fldChar w:fldCharType="end"/>
            </w:r>
          </w:hyperlink>
        </w:p>
        <w:p w14:paraId="3105420D" w14:textId="2C0E6053" w:rsidR="006C76AB" w:rsidRDefault="006C76AB">
          <w:pPr>
            <w:pStyle w:val="TOC3"/>
            <w:rPr>
              <w:rFonts w:asciiTheme="minorHAnsi" w:eastAsiaTheme="minorEastAsia" w:hAnsiTheme="minorHAnsi"/>
              <w:noProof/>
              <w:sz w:val="24"/>
              <w:szCs w:val="24"/>
              <w:lang w:eastAsia="en-GB"/>
            </w:rPr>
          </w:pPr>
          <w:hyperlink w:anchor="_Toc194670371" w:history="1">
            <w:r w:rsidRPr="00CE1370">
              <w:rPr>
                <w:rStyle w:val="Hyperlink"/>
                <w:noProof/>
              </w:rPr>
              <w:t>Category 2 – Capital goods</w:t>
            </w:r>
            <w:r>
              <w:rPr>
                <w:noProof/>
                <w:webHidden/>
              </w:rPr>
              <w:tab/>
            </w:r>
            <w:r>
              <w:rPr>
                <w:noProof/>
                <w:webHidden/>
              </w:rPr>
              <w:fldChar w:fldCharType="begin"/>
            </w:r>
            <w:r>
              <w:rPr>
                <w:noProof/>
                <w:webHidden/>
              </w:rPr>
              <w:instrText xml:space="preserve"> PAGEREF _Toc194670371 \h </w:instrText>
            </w:r>
            <w:r>
              <w:rPr>
                <w:noProof/>
                <w:webHidden/>
              </w:rPr>
            </w:r>
            <w:r>
              <w:rPr>
                <w:noProof/>
                <w:webHidden/>
              </w:rPr>
              <w:fldChar w:fldCharType="separate"/>
            </w:r>
            <w:r>
              <w:rPr>
                <w:noProof/>
                <w:webHidden/>
              </w:rPr>
              <w:t>5</w:t>
            </w:r>
            <w:r>
              <w:rPr>
                <w:noProof/>
                <w:webHidden/>
              </w:rPr>
              <w:fldChar w:fldCharType="end"/>
            </w:r>
          </w:hyperlink>
        </w:p>
        <w:p w14:paraId="31C3B807" w14:textId="014F8A38" w:rsidR="006C76AB" w:rsidRDefault="006C76AB">
          <w:pPr>
            <w:pStyle w:val="TOC3"/>
            <w:rPr>
              <w:rFonts w:asciiTheme="minorHAnsi" w:eastAsiaTheme="minorEastAsia" w:hAnsiTheme="minorHAnsi"/>
              <w:noProof/>
              <w:sz w:val="24"/>
              <w:szCs w:val="24"/>
              <w:lang w:eastAsia="en-GB"/>
            </w:rPr>
          </w:pPr>
          <w:hyperlink w:anchor="_Toc194670372" w:history="1">
            <w:r w:rsidRPr="00CE1370">
              <w:rPr>
                <w:rStyle w:val="Hyperlink"/>
                <w:noProof/>
              </w:rPr>
              <w:t>Category 3 – Fuel and energy related activities</w:t>
            </w:r>
            <w:r>
              <w:rPr>
                <w:noProof/>
                <w:webHidden/>
              </w:rPr>
              <w:tab/>
            </w:r>
            <w:r>
              <w:rPr>
                <w:noProof/>
                <w:webHidden/>
              </w:rPr>
              <w:fldChar w:fldCharType="begin"/>
            </w:r>
            <w:r>
              <w:rPr>
                <w:noProof/>
                <w:webHidden/>
              </w:rPr>
              <w:instrText xml:space="preserve"> PAGEREF _Toc194670372 \h </w:instrText>
            </w:r>
            <w:r>
              <w:rPr>
                <w:noProof/>
                <w:webHidden/>
              </w:rPr>
            </w:r>
            <w:r>
              <w:rPr>
                <w:noProof/>
                <w:webHidden/>
              </w:rPr>
              <w:fldChar w:fldCharType="separate"/>
            </w:r>
            <w:r>
              <w:rPr>
                <w:noProof/>
                <w:webHidden/>
              </w:rPr>
              <w:t>7</w:t>
            </w:r>
            <w:r>
              <w:rPr>
                <w:noProof/>
                <w:webHidden/>
              </w:rPr>
              <w:fldChar w:fldCharType="end"/>
            </w:r>
          </w:hyperlink>
        </w:p>
        <w:p w14:paraId="3C77AD13" w14:textId="09EABDC8" w:rsidR="006C76AB" w:rsidRDefault="006C76AB">
          <w:pPr>
            <w:pStyle w:val="TOC3"/>
            <w:rPr>
              <w:rFonts w:asciiTheme="minorHAnsi" w:eastAsiaTheme="minorEastAsia" w:hAnsiTheme="minorHAnsi"/>
              <w:noProof/>
              <w:sz w:val="24"/>
              <w:szCs w:val="24"/>
              <w:lang w:eastAsia="en-GB"/>
            </w:rPr>
          </w:pPr>
          <w:hyperlink w:anchor="_Toc194670373" w:history="1">
            <w:r w:rsidRPr="00CE1370">
              <w:rPr>
                <w:rStyle w:val="Hyperlink"/>
                <w:noProof/>
              </w:rPr>
              <w:t>Category 4 – Upstream transportation and distribution</w:t>
            </w:r>
            <w:r>
              <w:rPr>
                <w:noProof/>
                <w:webHidden/>
              </w:rPr>
              <w:tab/>
            </w:r>
            <w:r>
              <w:rPr>
                <w:noProof/>
                <w:webHidden/>
              </w:rPr>
              <w:fldChar w:fldCharType="begin"/>
            </w:r>
            <w:r>
              <w:rPr>
                <w:noProof/>
                <w:webHidden/>
              </w:rPr>
              <w:instrText xml:space="preserve"> PAGEREF _Toc194670373 \h </w:instrText>
            </w:r>
            <w:r>
              <w:rPr>
                <w:noProof/>
                <w:webHidden/>
              </w:rPr>
            </w:r>
            <w:r>
              <w:rPr>
                <w:noProof/>
                <w:webHidden/>
              </w:rPr>
              <w:fldChar w:fldCharType="separate"/>
            </w:r>
            <w:r>
              <w:rPr>
                <w:noProof/>
                <w:webHidden/>
              </w:rPr>
              <w:t>9</w:t>
            </w:r>
            <w:r>
              <w:rPr>
                <w:noProof/>
                <w:webHidden/>
              </w:rPr>
              <w:fldChar w:fldCharType="end"/>
            </w:r>
          </w:hyperlink>
        </w:p>
        <w:p w14:paraId="56378526" w14:textId="4A153B0B" w:rsidR="006C76AB" w:rsidRDefault="006C76AB">
          <w:pPr>
            <w:pStyle w:val="TOC3"/>
            <w:rPr>
              <w:rFonts w:asciiTheme="minorHAnsi" w:eastAsiaTheme="minorEastAsia" w:hAnsiTheme="minorHAnsi"/>
              <w:noProof/>
              <w:sz w:val="24"/>
              <w:szCs w:val="24"/>
              <w:lang w:eastAsia="en-GB"/>
            </w:rPr>
          </w:pPr>
          <w:hyperlink w:anchor="_Toc194670374" w:history="1">
            <w:r w:rsidRPr="00CE1370">
              <w:rPr>
                <w:rStyle w:val="Hyperlink"/>
                <w:noProof/>
              </w:rPr>
              <w:t>Category 5 – Waste generated in operations</w:t>
            </w:r>
            <w:r>
              <w:rPr>
                <w:noProof/>
                <w:webHidden/>
              </w:rPr>
              <w:tab/>
            </w:r>
            <w:r>
              <w:rPr>
                <w:noProof/>
                <w:webHidden/>
              </w:rPr>
              <w:fldChar w:fldCharType="begin"/>
            </w:r>
            <w:r>
              <w:rPr>
                <w:noProof/>
                <w:webHidden/>
              </w:rPr>
              <w:instrText xml:space="preserve"> PAGEREF _Toc194670374 \h </w:instrText>
            </w:r>
            <w:r>
              <w:rPr>
                <w:noProof/>
                <w:webHidden/>
              </w:rPr>
            </w:r>
            <w:r>
              <w:rPr>
                <w:noProof/>
                <w:webHidden/>
              </w:rPr>
              <w:fldChar w:fldCharType="separate"/>
            </w:r>
            <w:r>
              <w:rPr>
                <w:noProof/>
                <w:webHidden/>
              </w:rPr>
              <w:t>11</w:t>
            </w:r>
            <w:r>
              <w:rPr>
                <w:noProof/>
                <w:webHidden/>
              </w:rPr>
              <w:fldChar w:fldCharType="end"/>
            </w:r>
          </w:hyperlink>
        </w:p>
        <w:p w14:paraId="2AFBD514" w14:textId="0697DA33" w:rsidR="006C76AB" w:rsidRDefault="006C76AB">
          <w:pPr>
            <w:pStyle w:val="TOC3"/>
            <w:rPr>
              <w:rFonts w:asciiTheme="minorHAnsi" w:eastAsiaTheme="minorEastAsia" w:hAnsiTheme="minorHAnsi"/>
              <w:noProof/>
              <w:sz w:val="24"/>
              <w:szCs w:val="24"/>
              <w:lang w:eastAsia="en-GB"/>
            </w:rPr>
          </w:pPr>
          <w:hyperlink w:anchor="_Toc194670375" w:history="1">
            <w:r w:rsidRPr="00CE1370">
              <w:rPr>
                <w:rStyle w:val="Hyperlink"/>
                <w:noProof/>
              </w:rPr>
              <w:t>Category 6 – Business travel</w:t>
            </w:r>
            <w:r>
              <w:rPr>
                <w:noProof/>
                <w:webHidden/>
              </w:rPr>
              <w:tab/>
            </w:r>
            <w:r>
              <w:rPr>
                <w:noProof/>
                <w:webHidden/>
              </w:rPr>
              <w:fldChar w:fldCharType="begin"/>
            </w:r>
            <w:r>
              <w:rPr>
                <w:noProof/>
                <w:webHidden/>
              </w:rPr>
              <w:instrText xml:space="preserve"> PAGEREF _Toc194670375 \h </w:instrText>
            </w:r>
            <w:r>
              <w:rPr>
                <w:noProof/>
                <w:webHidden/>
              </w:rPr>
            </w:r>
            <w:r>
              <w:rPr>
                <w:noProof/>
                <w:webHidden/>
              </w:rPr>
              <w:fldChar w:fldCharType="separate"/>
            </w:r>
            <w:r>
              <w:rPr>
                <w:noProof/>
                <w:webHidden/>
              </w:rPr>
              <w:t>13</w:t>
            </w:r>
            <w:r>
              <w:rPr>
                <w:noProof/>
                <w:webHidden/>
              </w:rPr>
              <w:fldChar w:fldCharType="end"/>
            </w:r>
          </w:hyperlink>
        </w:p>
        <w:p w14:paraId="1A2A24AE" w14:textId="154D761A" w:rsidR="006C76AB" w:rsidRDefault="006C76AB">
          <w:pPr>
            <w:pStyle w:val="TOC3"/>
            <w:rPr>
              <w:rFonts w:asciiTheme="minorHAnsi" w:eastAsiaTheme="minorEastAsia" w:hAnsiTheme="minorHAnsi"/>
              <w:noProof/>
              <w:sz w:val="24"/>
              <w:szCs w:val="24"/>
              <w:lang w:eastAsia="en-GB"/>
            </w:rPr>
          </w:pPr>
          <w:hyperlink w:anchor="_Toc194670376" w:history="1">
            <w:r w:rsidRPr="00CE1370">
              <w:rPr>
                <w:rStyle w:val="Hyperlink"/>
                <w:noProof/>
              </w:rPr>
              <w:t>Category 7 – Employee commuting</w:t>
            </w:r>
            <w:r>
              <w:rPr>
                <w:noProof/>
                <w:webHidden/>
              </w:rPr>
              <w:tab/>
            </w:r>
            <w:r>
              <w:rPr>
                <w:noProof/>
                <w:webHidden/>
              </w:rPr>
              <w:fldChar w:fldCharType="begin"/>
            </w:r>
            <w:r>
              <w:rPr>
                <w:noProof/>
                <w:webHidden/>
              </w:rPr>
              <w:instrText xml:space="preserve"> PAGEREF _Toc194670376 \h </w:instrText>
            </w:r>
            <w:r>
              <w:rPr>
                <w:noProof/>
                <w:webHidden/>
              </w:rPr>
            </w:r>
            <w:r>
              <w:rPr>
                <w:noProof/>
                <w:webHidden/>
              </w:rPr>
              <w:fldChar w:fldCharType="separate"/>
            </w:r>
            <w:r>
              <w:rPr>
                <w:noProof/>
                <w:webHidden/>
              </w:rPr>
              <w:t>15</w:t>
            </w:r>
            <w:r>
              <w:rPr>
                <w:noProof/>
                <w:webHidden/>
              </w:rPr>
              <w:fldChar w:fldCharType="end"/>
            </w:r>
          </w:hyperlink>
        </w:p>
        <w:p w14:paraId="5DCDD477" w14:textId="316C2251" w:rsidR="006C76AB" w:rsidRDefault="006C76AB">
          <w:pPr>
            <w:pStyle w:val="TOC3"/>
            <w:rPr>
              <w:rFonts w:asciiTheme="minorHAnsi" w:eastAsiaTheme="minorEastAsia" w:hAnsiTheme="minorHAnsi"/>
              <w:noProof/>
              <w:sz w:val="24"/>
              <w:szCs w:val="24"/>
              <w:lang w:eastAsia="en-GB"/>
            </w:rPr>
          </w:pPr>
          <w:hyperlink w:anchor="_Toc194670377" w:history="1">
            <w:r w:rsidRPr="00CE1370">
              <w:rPr>
                <w:rStyle w:val="Hyperlink"/>
                <w:noProof/>
              </w:rPr>
              <w:t>Category 8 – Upstream leased assets</w:t>
            </w:r>
            <w:r>
              <w:rPr>
                <w:noProof/>
                <w:webHidden/>
              </w:rPr>
              <w:tab/>
            </w:r>
            <w:r>
              <w:rPr>
                <w:noProof/>
                <w:webHidden/>
              </w:rPr>
              <w:fldChar w:fldCharType="begin"/>
            </w:r>
            <w:r>
              <w:rPr>
                <w:noProof/>
                <w:webHidden/>
              </w:rPr>
              <w:instrText xml:space="preserve"> PAGEREF _Toc194670377 \h </w:instrText>
            </w:r>
            <w:r>
              <w:rPr>
                <w:noProof/>
                <w:webHidden/>
              </w:rPr>
            </w:r>
            <w:r>
              <w:rPr>
                <w:noProof/>
                <w:webHidden/>
              </w:rPr>
              <w:fldChar w:fldCharType="separate"/>
            </w:r>
            <w:r>
              <w:rPr>
                <w:noProof/>
                <w:webHidden/>
              </w:rPr>
              <w:t>17</w:t>
            </w:r>
            <w:r>
              <w:rPr>
                <w:noProof/>
                <w:webHidden/>
              </w:rPr>
              <w:fldChar w:fldCharType="end"/>
            </w:r>
          </w:hyperlink>
        </w:p>
        <w:p w14:paraId="3C5CCE58" w14:textId="4CCB42EC" w:rsidR="006C76AB" w:rsidRDefault="006C76AB">
          <w:pPr>
            <w:pStyle w:val="TOC3"/>
            <w:rPr>
              <w:rFonts w:asciiTheme="minorHAnsi" w:eastAsiaTheme="minorEastAsia" w:hAnsiTheme="minorHAnsi"/>
              <w:noProof/>
              <w:sz w:val="24"/>
              <w:szCs w:val="24"/>
              <w:lang w:eastAsia="en-GB"/>
            </w:rPr>
          </w:pPr>
          <w:hyperlink w:anchor="_Toc194670378" w:history="1">
            <w:r w:rsidRPr="00CE1370">
              <w:rPr>
                <w:rStyle w:val="Hyperlink"/>
                <w:noProof/>
              </w:rPr>
              <w:t>Category 9 – Downstream transportation &amp; distribution</w:t>
            </w:r>
            <w:r>
              <w:rPr>
                <w:noProof/>
                <w:webHidden/>
              </w:rPr>
              <w:tab/>
            </w:r>
            <w:r>
              <w:rPr>
                <w:noProof/>
                <w:webHidden/>
              </w:rPr>
              <w:fldChar w:fldCharType="begin"/>
            </w:r>
            <w:r>
              <w:rPr>
                <w:noProof/>
                <w:webHidden/>
              </w:rPr>
              <w:instrText xml:space="preserve"> PAGEREF _Toc194670378 \h </w:instrText>
            </w:r>
            <w:r>
              <w:rPr>
                <w:noProof/>
                <w:webHidden/>
              </w:rPr>
            </w:r>
            <w:r>
              <w:rPr>
                <w:noProof/>
                <w:webHidden/>
              </w:rPr>
              <w:fldChar w:fldCharType="separate"/>
            </w:r>
            <w:r>
              <w:rPr>
                <w:noProof/>
                <w:webHidden/>
              </w:rPr>
              <w:t>18</w:t>
            </w:r>
            <w:r>
              <w:rPr>
                <w:noProof/>
                <w:webHidden/>
              </w:rPr>
              <w:fldChar w:fldCharType="end"/>
            </w:r>
          </w:hyperlink>
        </w:p>
        <w:p w14:paraId="4F64DC23" w14:textId="760ED787" w:rsidR="006C76AB" w:rsidRDefault="006C76AB">
          <w:pPr>
            <w:pStyle w:val="TOC3"/>
            <w:rPr>
              <w:rFonts w:asciiTheme="minorHAnsi" w:eastAsiaTheme="minorEastAsia" w:hAnsiTheme="minorHAnsi"/>
              <w:noProof/>
              <w:sz w:val="24"/>
              <w:szCs w:val="24"/>
              <w:lang w:eastAsia="en-GB"/>
            </w:rPr>
          </w:pPr>
          <w:hyperlink w:anchor="_Toc194670379" w:history="1">
            <w:r w:rsidRPr="00CE1370">
              <w:rPr>
                <w:rStyle w:val="Hyperlink"/>
                <w:noProof/>
              </w:rPr>
              <w:t>Category 10 – Processing of sold products</w:t>
            </w:r>
            <w:r>
              <w:rPr>
                <w:noProof/>
                <w:webHidden/>
              </w:rPr>
              <w:tab/>
            </w:r>
            <w:r>
              <w:rPr>
                <w:noProof/>
                <w:webHidden/>
              </w:rPr>
              <w:fldChar w:fldCharType="begin"/>
            </w:r>
            <w:r>
              <w:rPr>
                <w:noProof/>
                <w:webHidden/>
              </w:rPr>
              <w:instrText xml:space="preserve"> PAGEREF _Toc194670379 \h </w:instrText>
            </w:r>
            <w:r>
              <w:rPr>
                <w:noProof/>
                <w:webHidden/>
              </w:rPr>
            </w:r>
            <w:r>
              <w:rPr>
                <w:noProof/>
                <w:webHidden/>
              </w:rPr>
              <w:fldChar w:fldCharType="separate"/>
            </w:r>
            <w:r>
              <w:rPr>
                <w:noProof/>
                <w:webHidden/>
              </w:rPr>
              <w:t>20</w:t>
            </w:r>
            <w:r>
              <w:rPr>
                <w:noProof/>
                <w:webHidden/>
              </w:rPr>
              <w:fldChar w:fldCharType="end"/>
            </w:r>
          </w:hyperlink>
        </w:p>
        <w:p w14:paraId="6B5E0035" w14:textId="2822F656" w:rsidR="006C76AB" w:rsidRDefault="006C76AB">
          <w:pPr>
            <w:pStyle w:val="TOC3"/>
            <w:rPr>
              <w:rFonts w:asciiTheme="minorHAnsi" w:eastAsiaTheme="minorEastAsia" w:hAnsiTheme="minorHAnsi"/>
              <w:noProof/>
              <w:sz w:val="24"/>
              <w:szCs w:val="24"/>
              <w:lang w:eastAsia="en-GB"/>
            </w:rPr>
          </w:pPr>
          <w:hyperlink w:anchor="_Toc194670380" w:history="1">
            <w:r w:rsidRPr="00CE1370">
              <w:rPr>
                <w:rStyle w:val="Hyperlink"/>
                <w:noProof/>
              </w:rPr>
              <w:t>Category 11 – Use of sold products</w:t>
            </w:r>
            <w:r>
              <w:rPr>
                <w:noProof/>
                <w:webHidden/>
              </w:rPr>
              <w:tab/>
            </w:r>
            <w:r>
              <w:rPr>
                <w:noProof/>
                <w:webHidden/>
              </w:rPr>
              <w:fldChar w:fldCharType="begin"/>
            </w:r>
            <w:r>
              <w:rPr>
                <w:noProof/>
                <w:webHidden/>
              </w:rPr>
              <w:instrText xml:space="preserve"> PAGEREF _Toc194670380 \h </w:instrText>
            </w:r>
            <w:r>
              <w:rPr>
                <w:noProof/>
                <w:webHidden/>
              </w:rPr>
            </w:r>
            <w:r>
              <w:rPr>
                <w:noProof/>
                <w:webHidden/>
              </w:rPr>
              <w:fldChar w:fldCharType="separate"/>
            </w:r>
            <w:r>
              <w:rPr>
                <w:noProof/>
                <w:webHidden/>
              </w:rPr>
              <w:t>21</w:t>
            </w:r>
            <w:r>
              <w:rPr>
                <w:noProof/>
                <w:webHidden/>
              </w:rPr>
              <w:fldChar w:fldCharType="end"/>
            </w:r>
          </w:hyperlink>
        </w:p>
        <w:p w14:paraId="103AD4C3" w14:textId="15F6D3BC" w:rsidR="006C76AB" w:rsidRDefault="006C76AB">
          <w:pPr>
            <w:pStyle w:val="TOC3"/>
            <w:rPr>
              <w:rFonts w:asciiTheme="minorHAnsi" w:eastAsiaTheme="minorEastAsia" w:hAnsiTheme="minorHAnsi"/>
              <w:noProof/>
              <w:sz w:val="24"/>
              <w:szCs w:val="24"/>
              <w:lang w:eastAsia="en-GB"/>
            </w:rPr>
          </w:pPr>
          <w:hyperlink w:anchor="_Toc194670381" w:history="1">
            <w:r w:rsidRPr="00CE1370">
              <w:rPr>
                <w:rStyle w:val="Hyperlink"/>
                <w:noProof/>
              </w:rPr>
              <w:t>Category 12 – End-of-Life treatment of sold products</w:t>
            </w:r>
            <w:r>
              <w:rPr>
                <w:noProof/>
                <w:webHidden/>
              </w:rPr>
              <w:tab/>
            </w:r>
            <w:r>
              <w:rPr>
                <w:noProof/>
                <w:webHidden/>
              </w:rPr>
              <w:fldChar w:fldCharType="begin"/>
            </w:r>
            <w:r>
              <w:rPr>
                <w:noProof/>
                <w:webHidden/>
              </w:rPr>
              <w:instrText xml:space="preserve"> PAGEREF _Toc194670381 \h </w:instrText>
            </w:r>
            <w:r>
              <w:rPr>
                <w:noProof/>
                <w:webHidden/>
              </w:rPr>
            </w:r>
            <w:r>
              <w:rPr>
                <w:noProof/>
                <w:webHidden/>
              </w:rPr>
              <w:fldChar w:fldCharType="separate"/>
            </w:r>
            <w:r>
              <w:rPr>
                <w:noProof/>
                <w:webHidden/>
              </w:rPr>
              <w:t>23</w:t>
            </w:r>
            <w:r>
              <w:rPr>
                <w:noProof/>
                <w:webHidden/>
              </w:rPr>
              <w:fldChar w:fldCharType="end"/>
            </w:r>
          </w:hyperlink>
        </w:p>
        <w:p w14:paraId="3C00F8B5" w14:textId="527F8B2A" w:rsidR="006C76AB" w:rsidRDefault="006C76AB">
          <w:pPr>
            <w:pStyle w:val="TOC3"/>
            <w:rPr>
              <w:rFonts w:asciiTheme="minorHAnsi" w:eastAsiaTheme="minorEastAsia" w:hAnsiTheme="minorHAnsi"/>
              <w:noProof/>
              <w:sz w:val="24"/>
              <w:szCs w:val="24"/>
              <w:lang w:eastAsia="en-GB"/>
            </w:rPr>
          </w:pPr>
          <w:hyperlink w:anchor="_Toc194670382" w:history="1">
            <w:r w:rsidRPr="00CE1370">
              <w:rPr>
                <w:rStyle w:val="Hyperlink"/>
                <w:noProof/>
              </w:rPr>
              <w:t>Category 13 – Downstream leased assets</w:t>
            </w:r>
            <w:r>
              <w:rPr>
                <w:noProof/>
                <w:webHidden/>
              </w:rPr>
              <w:tab/>
            </w:r>
            <w:r>
              <w:rPr>
                <w:noProof/>
                <w:webHidden/>
              </w:rPr>
              <w:fldChar w:fldCharType="begin"/>
            </w:r>
            <w:r>
              <w:rPr>
                <w:noProof/>
                <w:webHidden/>
              </w:rPr>
              <w:instrText xml:space="preserve"> PAGEREF _Toc194670382 \h </w:instrText>
            </w:r>
            <w:r>
              <w:rPr>
                <w:noProof/>
                <w:webHidden/>
              </w:rPr>
            </w:r>
            <w:r>
              <w:rPr>
                <w:noProof/>
                <w:webHidden/>
              </w:rPr>
              <w:fldChar w:fldCharType="separate"/>
            </w:r>
            <w:r>
              <w:rPr>
                <w:noProof/>
                <w:webHidden/>
              </w:rPr>
              <w:t>25</w:t>
            </w:r>
            <w:r>
              <w:rPr>
                <w:noProof/>
                <w:webHidden/>
              </w:rPr>
              <w:fldChar w:fldCharType="end"/>
            </w:r>
          </w:hyperlink>
        </w:p>
        <w:p w14:paraId="0C52169E" w14:textId="44C98A61" w:rsidR="006C76AB" w:rsidRDefault="006C76AB">
          <w:pPr>
            <w:pStyle w:val="TOC3"/>
            <w:rPr>
              <w:rFonts w:asciiTheme="minorHAnsi" w:eastAsiaTheme="minorEastAsia" w:hAnsiTheme="minorHAnsi"/>
              <w:noProof/>
              <w:sz w:val="24"/>
              <w:szCs w:val="24"/>
              <w:lang w:eastAsia="en-GB"/>
            </w:rPr>
          </w:pPr>
          <w:hyperlink w:anchor="_Toc194670383" w:history="1">
            <w:r w:rsidRPr="00CE1370">
              <w:rPr>
                <w:rStyle w:val="Hyperlink"/>
                <w:noProof/>
              </w:rPr>
              <w:t>Category 14 – Franchises</w:t>
            </w:r>
            <w:r>
              <w:rPr>
                <w:noProof/>
                <w:webHidden/>
              </w:rPr>
              <w:tab/>
            </w:r>
            <w:r>
              <w:rPr>
                <w:noProof/>
                <w:webHidden/>
              </w:rPr>
              <w:fldChar w:fldCharType="begin"/>
            </w:r>
            <w:r>
              <w:rPr>
                <w:noProof/>
                <w:webHidden/>
              </w:rPr>
              <w:instrText xml:space="preserve"> PAGEREF _Toc194670383 \h </w:instrText>
            </w:r>
            <w:r>
              <w:rPr>
                <w:noProof/>
                <w:webHidden/>
              </w:rPr>
            </w:r>
            <w:r>
              <w:rPr>
                <w:noProof/>
                <w:webHidden/>
              </w:rPr>
              <w:fldChar w:fldCharType="separate"/>
            </w:r>
            <w:r>
              <w:rPr>
                <w:noProof/>
                <w:webHidden/>
              </w:rPr>
              <w:t>26</w:t>
            </w:r>
            <w:r>
              <w:rPr>
                <w:noProof/>
                <w:webHidden/>
              </w:rPr>
              <w:fldChar w:fldCharType="end"/>
            </w:r>
          </w:hyperlink>
        </w:p>
        <w:p w14:paraId="443A5D3A" w14:textId="6EF52155" w:rsidR="006C76AB" w:rsidRDefault="006C76AB">
          <w:pPr>
            <w:pStyle w:val="TOC3"/>
            <w:rPr>
              <w:rFonts w:asciiTheme="minorHAnsi" w:eastAsiaTheme="minorEastAsia" w:hAnsiTheme="minorHAnsi"/>
              <w:noProof/>
              <w:sz w:val="24"/>
              <w:szCs w:val="24"/>
              <w:lang w:eastAsia="en-GB"/>
            </w:rPr>
          </w:pPr>
          <w:hyperlink w:anchor="_Toc194670384" w:history="1">
            <w:r w:rsidRPr="00CE1370">
              <w:rPr>
                <w:rStyle w:val="Hyperlink"/>
                <w:noProof/>
              </w:rPr>
              <w:t>Category 15 – Investments</w:t>
            </w:r>
            <w:r>
              <w:rPr>
                <w:noProof/>
                <w:webHidden/>
              </w:rPr>
              <w:tab/>
            </w:r>
            <w:r>
              <w:rPr>
                <w:noProof/>
                <w:webHidden/>
              </w:rPr>
              <w:fldChar w:fldCharType="begin"/>
            </w:r>
            <w:r>
              <w:rPr>
                <w:noProof/>
                <w:webHidden/>
              </w:rPr>
              <w:instrText xml:space="preserve"> PAGEREF _Toc194670384 \h </w:instrText>
            </w:r>
            <w:r>
              <w:rPr>
                <w:noProof/>
                <w:webHidden/>
              </w:rPr>
            </w:r>
            <w:r>
              <w:rPr>
                <w:noProof/>
                <w:webHidden/>
              </w:rPr>
              <w:fldChar w:fldCharType="separate"/>
            </w:r>
            <w:r>
              <w:rPr>
                <w:noProof/>
                <w:webHidden/>
              </w:rPr>
              <w:t>27</w:t>
            </w:r>
            <w:r>
              <w:rPr>
                <w:noProof/>
                <w:webHidden/>
              </w:rPr>
              <w:fldChar w:fldCharType="end"/>
            </w:r>
          </w:hyperlink>
        </w:p>
        <w:p w14:paraId="0E174BE5" w14:textId="1310FA59" w:rsidR="006C76AB" w:rsidRDefault="006C76AB">
          <w:pPr>
            <w:pStyle w:val="TOC1"/>
            <w:rPr>
              <w:rFonts w:asciiTheme="minorHAnsi" w:eastAsiaTheme="minorEastAsia" w:hAnsiTheme="minorHAnsi"/>
              <w:noProof/>
              <w:sz w:val="24"/>
              <w:szCs w:val="24"/>
              <w:lang w:eastAsia="en-GB"/>
            </w:rPr>
          </w:pPr>
          <w:hyperlink w:anchor="_Toc194670385" w:history="1">
            <w:r w:rsidRPr="00CE1370">
              <w:rPr>
                <w:rStyle w:val="Hyperlink"/>
                <w:noProof/>
              </w:rPr>
              <w:t>Appendix 1 - Glossary of terms</w:t>
            </w:r>
            <w:r>
              <w:rPr>
                <w:noProof/>
                <w:webHidden/>
              </w:rPr>
              <w:tab/>
            </w:r>
            <w:r>
              <w:rPr>
                <w:noProof/>
                <w:webHidden/>
              </w:rPr>
              <w:fldChar w:fldCharType="begin"/>
            </w:r>
            <w:r>
              <w:rPr>
                <w:noProof/>
                <w:webHidden/>
              </w:rPr>
              <w:instrText xml:space="preserve"> PAGEREF _Toc194670385 \h </w:instrText>
            </w:r>
            <w:r>
              <w:rPr>
                <w:noProof/>
                <w:webHidden/>
              </w:rPr>
            </w:r>
            <w:r>
              <w:rPr>
                <w:noProof/>
                <w:webHidden/>
              </w:rPr>
              <w:fldChar w:fldCharType="separate"/>
            </w:r>
            <w:r>
              <w:rPr>
                <w:noProof/>
                <w:webHidden/>
              </w:rPr>
              <w:t>28</w:t>
            </w:r>
            <w:r>
              <w:rPr>
                <w:noProof/>
                <w:webHidden/>
              </w:rPr>
              <w:fldChar w:fldCharType="end"/>
            </w:r>
          </w:hyperlink>
        </w:p>
        <w:p w14:paraId="2EC75128" w14:textId="009DC6CB" w:rsidR="006C76AB" w:rsidRDefault="006C76AB">
          <w:pPr>
            <w:pStyle w:val="TOC1"/>
            <w:rPr>
              <w:rFonts w:asciiTheme="minorHAnsi" w:eastAsiaTheme="minorEastAsia" w:hAnsiTheme="minorHAnsi"/>
              <w:noProof/>
              <w:sz w:val="24"/>
              <w:szCs w:val="24"/>
              <w:lang w:eastAsia="en-GB"/>
            </w:rPr>
          </w:pPr>
          <w:hyperlink w:anchor="_Toc194670386" w:history="1">
            <w:r w:rsidRPr="00CE1370">
              <w:rPr>
                <w:rStyle w:val="Hyperlink"/>
                <w:noProof/>
              </w:rPr>
              <w:t>Appendix 2 - Units of measurement</w:t>
            </w:r>
            <w:r>
              <w:rPr>
                <w:noProof/>
                <w:webHidden/>
              </w:rPr>
              <w:tab/>
            </w:r>
            <w:r>
              <w:rPr>
                <w:noProof/>
                <w:webHidden/>
              </w:rPr>
              <w:fldChar w:fldCharType="begin"/>
            </w:r>
            <w:r>
              <w:rPr>
                <w:noProof/>
                <w:webHidden/>
              </w:rPr>
              <w:instrText xml:space="preserve"> PAGEREF _Toc194670386 \h </w:instrText>
            </w:r>
            <w:r>
              <w:rPr>
                <w:noProof/>
                <w:webHidden/>
              </w:rPr>
            </w:r>
            <w:r>
              <w:rPr>
                <w:noProof/>
                <w:webHidden/>
              </w:rPr>
              <w:fldChar w:fldCharType="separate"/>
            </w:r>
            <w:r>
              <w:rPr>
                <w:noProof/>
                <w:webHidden/>
              </w:rPr>
              <w:t>30</w:t>
            </w:r>
            <w:r>
              <w:rPr>
                <w:noProof/>
                <w:webHidden/>
              </w:rPr>
              <w:fldChar w:fldCharType="end"/>
            </w:r>
          </w:hyperlink>
        </w:p>
        <w:p w14:paraId="2F813184" w14:textId="06FEB0EA" w:rsidR="006C76AB" w:rsidRDefault="006C76AB">
          <w:pPr>
            <w:pStyle w:val="TOC1"/>
            <w:rPr>
              <w:rFonts w:asciiTheme="minorHAnsi" w:eastAsiaTheme="minorEastAsia" w:hAnsiTheme="minorHAnsi"/>
              <w:noProof/>
              <w:sz w:val="24"/>
              <w:szCs w:val="24"/>
              <w:lang w:eastAsia="en-GB"/>
            </w:rPr>
          </w:pPr>
          <w:hyperlink w:anchor="_Toc194670387" w:history="1">
            <w:r w:rsidRPr="00CE1370">
              <w:rPr>
                <w:rStyle w:val="Hyperlink"/>
                <w:rFonts w:eastAsia="Times New Roman"/>
                <w:noProof/>
              </w:rPr>
              <w:t>Appendix 3 – The Scope 1 and 2 emission sources</w:t>
            </w:r>
            <w:r>
              <w:rPr>
                <w:noProof/>
                <w:webHidden/>
              </w:rPr>
              <w:tab/>
            </w:r>
            <w:r>
              <w:rPr>
                <w:noProof/>
                <w:webHidden/>
              </w:rPr>
              <w:fldChar w:fldCharType="begin"/>
            </w:r>
            <w:r>
              <w:rPr>
                <w:noProof/>
                <w:webHidden/>
              </w:rPr>
              <w:instrText xml:space="preserve"> PAGEREF _Toc194670387 \h </w:instrText>
            </w:r>
            <w:r>
              <w:rPr>
                <w:noProof/>
                <w:webHidden/>
              </w:rPr>
            </w:r>
            <w:r>
              <w:rPr>
                <w:noProof/>
                <w:webHidden/>
              </w:rPr>
              <w:fldChar w:fldCharType="separate"/>
            </w:r>
            <w:r>
              <w:rPr>
                <w:noProof/>
                <w:webHidden/>
              </w:rPr>
              <w:t>31</w:t>
            </w:r>
            <w:r>
              <w:rPr>
                <w:noProof/>
                <w:webHidden/>
              </w:rPr>
              <w:fldChar w:fldCharType="end"/>
            </w:r>
          </w:hyperlink>
        </w:p>
        <w:p w14:paraId="0A556175" w14:textId="2B99F01A" w:rsidR="006C76AB" w:rsidRDefault="006C76AB">
          <w:pPr>
            <w:pStyle w:val="TOC2"/>
            <w:tabs>
              <w:tab w:val="right" w:leader="dot" w:pos="9016"/>
            </w:tabs>
            <w:rPr>
              <w:rFonts w:asciiTheme="minorHAnsi" w:eastAsiaTheme="minorEastAsia" w:hAnsiTheme="minorHAnsi"/>
              <w:noProof/>
              <w:sz w:val="24"/>
              <w:szCs w:val="24"/>
              <w:lang w:eastAsia="en-GB"/>
            </w:rPr>
          </w:pPr>
          <w:hyperlink w:anchor="_Toc194670388" w:history="1">
            <w:r w:rsidRPr="00CE1370">
              <w:rPr>
                <w:rStyle w:val="Hyperlink"/>
                <w:rFonts w:eastAsia="Times New Roman"/>
                <w:noProof/>
              </w:rPr>
              <w:t>Table 3.1 – The Sources of CAML’s Scope 1 emissions</w:t>
            </w:r>
            <w:r>
              <w:rPr>
                <w:noProof/>
                <w:webHidden/>
              </w:rPr>
              <w:tab/>
            </w:r>
            <w:r>
              <w:rPr>
                <w:noProof/>
                <w:webHidden/>
              </w:rPr>
              <w:fldChar w:fldCharType="begin"/>
            </w:r>
            <w:r>
              <w:rPr>
                <w:noProof/>
                <w:webHidden/>
              </w:rPr>
              <w:instrText xml:space="preserve"> PAGEREF _Toc194670388 \h </w:instrText>
            </w:r>
            <w:r>
              <w:rPr>
                <w:noProof/>
                <w:webHidden/>
              </w:rPr>
            </w:r>
            <w:r>
              <w:rPr>
                <w:noProof/>
                <w:webHidden/>
              </w:rPr>
              <w:fldChar w:fldCharType="separate"/>
            </w:r>
            <w:r>
              <w:rPr>
                <w:noProof/>
                <w:webHidden/>
              </w:rPr>
              <w:t>31</w:t>
            </w:r>
            <w:r>
              <w:rPr>
                <w:noProof/>
                <w:webHidden/>
              </w:rPr>
              <w:fldChar w:fldCharType="end"/>
            </w:r>
          </w:hyperlink>
        </w:p>
        <w:p w14:paraId="08888A71" w14:textId="06061DF1" w:rsidR="006C76AB" w:rsidRDefault="006C76AB">
          <w:pPr>
            <w:pStyle w:val="TOC2"/>
            <w:tabs>
              <w:tab w:val="right" w:leader="dot" w:pos="9016"/>
            </w:tabs>
            <w:rPr>
              <w:rFonts w:asciiTheme="minorHAnsi" w:eastAsiaTheme="minorEastAsia" w:hAnsiTheme="minorHAnsi"/>
              <w:noProof/>
              <w:sz w:val="24"/>
              <w:szCs w:val="24"/>
              <w:lang w:eastAsia="en-GB"/>
            </w:rPr>
          </w:pPr>
          <w:hyperlink w:anchor="_Toc194670389" w:history="1">
            <w:r w:rsidRPr="00CE1370">
              <w:rPr>
                <w:rStyle w:val="Hyperlink"/>
                <w:noProof/>
              </w:rPr>
              <w:t>Table 3.2 – Sources of Scope 2 emissions</w:t>
            </w:r>
            <w:r>
              <w:rPr>
                <w:noProof/>
                <w:webHidden/>
              </w:rPr>
              <w:tab/>
            </w:r>
            <w:r>
              <w:rPr>
                <w:noProof/>
                <w:webHidden/>
              </w:rPr>
              <w:fldChar w:fldCharType="begin"/>
            </w:r>
            <w:r>
              <w:rPr>
                <w:noProof/>
                <w:webHidden/>
              </w:rPr>
              <w:instrText xml:space="preserve"> PAGEREF _Toc194670389 \h </w:instrText>
            </w:r>
            <w:r>
              <w:rPr>
                <w:noProof/>
                <w:webHidden/>
              </w:rPr>
            </w:r>
            <w:r>
              <w:rPr>
                <w:noProof/>
                <w:webHidden/>
              </w:rPr>
              <w:fldChar w:fldCharType="separate"/>
            </w:r>
            <w:r>
              <w:rPr>
                <w:noProof/>
                <w:webHidden/>
              </w:rPr>
              <w:t>31</w:t>
            </w:r>
            <w:r>
              <w:rPr>
                <w:noProof/>
                <w:webHidden/>
              </w:rPr>
              <w:fldChar w:fldCharType="end"/>
            </w:r>
          </w:hyperlink>
        </w:p>
        <w:p w14:paraId="7933C8B8" w14:textId="1C3C2D29" w:rsidR="006C76AB" w:rsidRDefault="006C76AB">
          <w:pPr>
            <w:pStyle w:val="TOC1"/>
            <w:rPr>
              <w:rFonts w:asciiTheme="minorHAnsi" w:eastAsiaTheme="minorEastAsia" w:hAnsiTheme="minorHAnsi"/>
              <w:noProof/>
              <w:sz w:val="24"/>
              <w:szCs w:val="24"/>
              <w:lang w:eastAsia="en-GB"/>
            </w:rPr>
          </w:pPr>
          <w:hyperlink w:anchor="_Toc194670390" w:history="1">
            <w:r w:rsidRPr="00CE1370">
              <w:rPr>
                <w:rStyle w:val="Hyperlink"/>
                <w:noProof/>
              </w:rPr>
              <w:t>Appendix 4 – References</w:t>
            </w:r>
            <w:r>
              <w:rPr>
                <w:noProof/>
                <w:webHidden/>
              </w:rPr>
              <w:tab/>
            </w:r>
            <w:r>
              <w:rPr>
                <w:noProof/>
                <w:webHidden/>
              </w:rPr>
              <w:fldChar w:fldCharType="begin"/>
            </w:r>
            <w:r>
              <w:rPr>
                <w:noProof/>
                <w:webHidden/>
              </w:rPr>
              <w:instrText xml:space="preserve"> PAGEREF _Toc194670390 \h </w:instrText>
            </w:r>
            <w:r>
              <w:rPr>
                <w:noProof/>
                <w:webHidden/>
              </w:rPr>
            </w:r>
            <w:r>
              <w:rPr>
                <w:noProof/>
                <w:webHidden/>
              </w:rPr>
              <w:fldChar w:fldCharType="separate"/>
            </w:r>
            <w:r>
              <w:rPr>
                <w:noProof/>
                <w:webHidden/>
              </w:rPr>
              <w:t>32</w:t>
            </w:r>
            <w:r>
              <w:rPr>
                <w:noProof/>
                <w:webHidden/>
              </w:rPr>
              <w:fldChar w:fldCharType="end"/>
            </w:r>
          </w:hyperlink>
        </w:p>
        <w:p w14:paraId="18EF3341" w14:textId="02BAA640" w:rsidR="00BF46A2" w:rsidRDefault="00BF46A2">
          <w:r>
            <w:rPr>
              <w:b/>
              <w:bCs/>
              <w:noProof/>
            </w:rPr>
            <w:fldChar w:fldCharType="end"/>
          </w:r>
        </w:p>
      </w:sdtContent>
    </w:sdt>
    <w:p w14:paraId="62B1BBE2" w14:textId="5BE640DF" w:rsidR="00855957" w:rsidRPr="008F0D85" w:rsidRDefault="00172920" w:rsidP="00772585">
      <w:pPr>
        <w:pStyle w:val="Heading1"/>
      </w:pPr>
      <w:bookmarkStart w:id="0" w:name="_Toc194670358"/>
      <w:r>
        <w:lastRenderedPageBreak/>
        <w:t>Overview</w:t>
      </w:r>
      <w:bookmarkEnd w:id="0"/>
    </w:p>
    <w:p w14:paraId="7BA8D3AB" w14:textId="34DCC2BA" w:rsidR="00456E2A" w:rsidRPr="008F0D85" w:rsidRDefault="00921E06" w:rsidP="00E325F9">
      <w:pPr>
        <w:tabs>
          <w:tab w:val="left" w:pos="4820"/>
        </w:tabs>
        <w:jc w:val="both"/>
        <w:rPr>
          <w:color w:val="44546A" w:themeColor="text2"/>
        </w:rPr>
      </w:pPr>
      <w:r w:rsidRPr="008F0D85">
        <w:rPr>
          <w:color w:val="44546A" w:themeColor="text2"/>
        </w:rPr>
        <w:t xml:space="preserve">This </w:t>
      </w:r>
      <w:r w:rsidR="00636CD0" w:rsidRPr="008F0D85">
        <w:rPr>
          <w:color w:val="44546A" w:themeColor="text2"/>
        </w:rPr>
        <w:t>M</w:t>
      </w:r>
      <w:r w:rsidRPr="008F0D85">
        <w:rPr>
          <w:color w:val="44546A" w:themeColor="text2"/>
        </w:rPr>
        <w:t xml:space="preserve">ethodology </w:t>
      </w:r>
      <w:r w:rsidR="00636CD0" w:rsidRPr="008F0D85">
        <w:rPr>
          <w:color w:val="44546A" w:themeColor="text2"/>
        </w:rPr>
        <w:t>R</w:t>
      </w:r>
      <w:r w:rsidRPr="008F0D85">
        <w:rPr>
          <w:color w:val="44546A" w:themeColor="text2"/>
        </w:rPr>
        <w:t xml:space="preserve">eport </w:t>
      </w:r>
      <w:r w:rsidR="00E44693" w:rsidRPr="008F0D85">
        <w:rPr>
          <w:color w:val="44546A" w:themeColor="text2"/>
        </w:rPr>
        <w:t>outlines the approach, assumptions, calculation boundaries</w:t>
      </w:r>
      <w:r w:rsidR="009B6A5D" w:rsidRPr="008F0D85">
        <w:rPr>
          <w:color w:val="44546A" w:themeColor="text2"/>
        </w:rPr>
        <w:t xml:space="preserve"> </w:t>
      </w:r>
      <w:r w:rsidR="00E44693" w:rsidRPr="008F0D85">
        <w:rPr>
          <w:color w:val="44546A" w:themeColor="text2"/>
        </w:rPr>
        <w:t>and reference</w:t>
      </w:r>
      <w:r w:rsidR="009B6A5D" w:rsidRPr="008F0D85">
        <w:rPr>
          <w:color w:val="44546A" w:themeColor="text2"/>
        </w:rPr>
        <w:t xml:space="preserve"> sources for disclosing</w:t>
      </w:r>
      <w:r w:rsidR="00E44693" w:rsidRPr="008F0D85">
        <w:rPr>
          <w:color w:val="44546A" w:themeColor="text2"/>
        </w:rPr>
        <w:t xml:space="preserve"> the </w:t>
      </w:r>
      <w:r w:rsidR="00F123B7" w:rsidRPr="008F0D85">
        <w:rPr>
          <w:color w:val="44546A" w:themeColor="text2"/>
        </w:rPr>
        <w:t>greenhouse gas (</w:t>
      </w:r>
      <w:r w:rsidR="00337CED" w:rsidRPr="008F0D85">
        <w:rPr>
          <w:color w:val="44546A" w:themeColor="text2"/>
        </w:rPr>
        <w:t>GHG</w:t>
      </w:r>
      <w:r w:rsidR="00F123B7" w:rsidRPr="008F0D85">
        <w:rPr>
          <w:color w:val="44546A" w:themeColor="text2"/>
        </w:rPr>
        <w:t>)</w:t>
      </w:r>
      <w:r w:rsidR="00E44693" w:rsidRPr="008F0D85">
        <w:rPr>
          <w:color w:val="44546A" w:themeColor="text2"/>
        </w:rPr>
        <w:t xml:space="preserve"> emissions of </w:t>
      </w:r>
      <w:r w:rsidR="00E325F9" w:rsidRPr="008F0D85">
        <w:rPr>
          <w:color w:val="44546A" w:themeColor="text2"/>
        </w:rPr>
        <w:t xml:space="preserve">the </w:t>
      </w:r>
      <w:r w:rsidR="00E44693" w:rsidRPr="008F0D85">
        <w:rPr>
          <w:color w:val="44546A" w:themeColor="text2"/>
        </w:rPr>
        <w:t>C</w:t>
      </w:r>
      <w:r w:rsidR="004201B2" w:rsidRPr="008F0D85">
        <w:rPr>
          <w:color w:val="44546A" w:themeColor="text2"/>
        </w:rPr>
        <w:t>entral Asia Metals</w:t>
      </w:r>
      <w:r w:rsidR="00E44693" w:rsidRPr="008F0D85">
        <w:rPr>
          <w:color w:val="44546A" w:themeColor="text2"/>
        </w:rPr>
        <w:t xml:space="preserve"> PLC</w:t>
      </w:r>
      <w:r w:rsidR="00F123B7" w:rsidRPr="008F0D85">
        <w:rPr>
          <w:color w:val="44546A" w:themeColor="text2"/>
        </w:rPr>
        <w:t xml:space="preserve"> (‘CAML’)</w:t>
      </w:r>
      <w:r w:rsidR="00E44693" w:rsidRPr="008F0D85">
        <w:rPr>
          <w:color w:val="44546A" w:themeColor="text2"/>
        </w:rPr>
        <w:t xml:space="preserve"> </w:t>
      </w:r>
      <w:r w:rsidR="00E325F9" w:rsidRPr="008F0D85">
        <w:rPr>
          <w:color w:val="44546A" w:themeColor="text2"/>
        </w:rPr>
        <w:t xml:space="preserve">group </w:t>
      </w:r>
      <w:r w:rsidR="00E44693" w:rsidRPr="008F0D85">
        <w:rPr>
          <w:color w:val="44546A" w:themeColor="text2"/>
        </w:rPr>
        <w:t>for the year 202</w:t>
      </w:r>
      <w:r w:rsidR="00B5018A">
        <w:rPr>
          <w:color w:val="44546A" w:themeColor="text2"/>
        </w:rPr>
        <w:t>4</w:t>
      </w:r>
      <w:r w:rsidR="00E44693" w:rsidRPr="008F0D85">
        <w:rPr>
          <w:color w:val="44546A" w:themeColor="text2"/>
        </w:rPr>
        <w:t>, alongside a comparative analysis.</w:t>
      </w:r>
      <w:r w:rsidR="00CE412C" w:rsidRPr="008F0D85">
        <w:rPr>
          <w:color w:val="44546A" w:themeColor="text2"/>
        </w:rPr>
        <w:t xml:space="preserve"> </w:t>
      </w:r>
    </w:p>
    <w:p w14:paraId="104C7200" w14:textId="6646E1BC" w:rsidR="000975B8" w:rsidRDefault="00D0641B" w:rsidP="00E325F9">
      <w:pPr>
        <w:tabs>
          <w:tab w:val="left" w:pos="4820"/>
        </w:tabs>
        <w:jc w:val="both"/>
        <w:rPr>
          <w:color w:val="44546A" w:themeColor="text2"/>
        </w:rPr>
      </w:pPr>
      <w:r w:rsidRPr="008F0D85">
        <w:rPr>
          <w:color w:val="44546A" w:themeColor="text2"/>
        </w:rPr>
        <w:t xml:space="preserve">This </w:t>
      </w:r>
      <w:r w:rsidR="00C26950">
        <w:rPr>
          <w:color w:val="44546A" w:themeColor="text2"/>
        </w:rPr>
        <w:t>r</w:t>
      </w:r>
      <w:r w:rsidRPr="008F0D85">
        <w:rPr>
          <w:color w:val="44546A" w:themeColor="text2"/>
        </w:rPr>
        <w:t xml:space="preserve">eport, in combination with the published data on Scope 1, Scope 2 and Scope 3 emissions in relation to our business, meets the disclosure requirements of the Global Reporting Initiative (GRI) </w:t>
      </w:r>
      <w:r w:rsidR="00360BCF">
        <w:rPr>
          <w:color w:val="44546A" w:themeColor="text2"/>
        </w:rPr>
        <w:t xml:space="preserve">Universal </w:t>
      </w:r>
      <w:r w:rsidRPr="008F0D85">
        <w:rPr>
          <w:color w:val="44546A" w:themeColor="text2"/>
        </w:rPr>
        <w:t>standar</w:t>
      </w:r>
      <w:r w:rsidR="005720AC">
        <w:rPr>
          <w:color w:val="44546A" w:themeColor="text2"/>
        </w:rPr>
        <w:t>d</w:t>
      </w:r>
      <w:r w:rsidRPr="008F0D85">
        <w:rPr>
          <w:color w:val="44546A" w:themeColor="text2"/>
        </w:rPr>
        <w:t xml:space="preserve"> GRI 305</w:t>
      </w:r>
      <w:r w:rsidR="0032475A" w:rsidRPr="008F0D85">
        <w:rPr>
          <w:color w:val="44546A" w:themeColor="text2"/>
        </w:rPr>
        <w:t>: Emissions</w:t>
      </w:r>
      <w:r w:rsidR="00C771D5">
        <w:rPr>
          <w:color w:val="44546A" w:themeColor="text2"/>
        </w:rPr>
        <w:t>,</w:t>
      </w:r>
      <w:r w:rsidR="00E46A78" w:rsidRPr="008F0D85">
        <w:rPr>
          <w:color w:val="44546A" w:themeColor="text2"/>
        </w:rPr>
        <w:t xml:space="preserve"> and </w:t>
      </w:r>
      <w:r w:rsidR="002D3A50" w:rsidRPr="008F0D85">
        <w:rPr>
          <w:color w:val="44546A" w:themeColor="text2"/>
        </w:rPr>
        <w:t>is</w:t>
      </w:r>
      <w:r w:rsidR="00E46A78" w:rsidRPr="008F0D85">
        <w:rPr>
          <w:color w:val="44546A" w:themeColor="text2"/>
        </w:rPr>
        <w:t xml:space="preserve"> aligned with the recommendation</w:t>
      </w:r>
      <w:r w:rsidR="00BF1388" w:rsidRPr="008F0D85">
        <w:rPr>
          <w:color w:val="44546A" w:themeColor="text2"/>
        </w:rPr>
        <w:t>s</w:t>
      </w:r>
      <w:r w:rsidR="00E46A78" w:rsidRPr="008F0D85">
        <w:rPr>
          <w:color w:val="44546A" w:themeColor="text2"/>
        </w:rPr>
        <w:t xml:space="preserve"> of the Financial Stability Board’s Task Force on Climate-related Financial Disclosures (TCFD).</w:t>
      </w:r>
    </w:p>
    <w:p w14:paraId="2431A0BD" w14:textId="77777777" w:rsidR="00804A0D" w:rsidRPr="007D3C79" w:rsidRDefault="00804A0D" w:rsidP="00804A0D">
      <w:pPr>
        <w:tabs>
          <w:tab w:val="left" w:pos="4820"/>
        </w:tabs>
        <w:jc w:val="both"/>
        <w:rPr>
          <w:color w:val="44546A" w:themeColor="text2"/>
        </w:rPr>
      </w:pPr>
      <w:r w:rsidRPr="007D3C79">
        <w:rPr>
          <w:color w:val="44546A" w:themeColor="text2"/>
        </w:rPr>
        <w:t xml:space="preserve">Estimations of GHG emissions follow methodologies in line with the GHG Protocol: A Corporate Accounting and Reporting Standard, enriched with further insights from the GHG Protocol: Scope 2 Guidance, the Corporate Value Chain (Scope 3) Accounting and Reporting Standard, and the Technical Guidance for Calculating Scope 3 Emissions. The GHG Protocol facilitates voluntary GHG emission calculation and reporting for companies, encompassing six key greenhouse gases as identified in the Kyoto Protocol: </w:t>
      </w:r>
    </w:p>
    <w:p w14:paraId="1EF037E5" w14:textId="77777777" w:rsidR="00804A0D" w:rsidRPr="007D3C79" w:rsidRDefault="00804A0D" w:rsidP="00804A0D">
      <w:pPr>
        <w:numPr>
          <w:ilvl w:val="0"/>
          <w:numId w:val="14"/>
        </w:numPr>
        <w:tabs>
          <w:tab w:val="left" w:pos="4820"/>
        </w:tabs>
        <w:contextualSpacing/>
        <w:jc w:val="both"/>
        <w:rPr>
          <w:color w:val="44546A" w:themeColor="text2"/>
        </w:rPr>
      </w:pPr>
      <w:r w:rsidRPr="007D3C79">
        <w:rPr>
          <w:color w:val="44546A" w:themeColor="text2"/>
        </w:rPr>
        <w:t>carbon dioxide (CO</w:t>
      </w:r>
      <w:r w:rsidRPr="003429C8">
        <w:rPr>
          <w:color w:val="44546A" w:themeColor="text2"/>
          <w:vertAlign w:val="subscript"/>
        </w:rPr>
        <w:t>2</w:t>
      </w:r>
      <w:r w:rsidRPr="007D3C79">
        <w:rPr>
          <w:color w:val="44546A" w:themeColor="text2"/>
        </w:rPr>
        <w:t>)</w:t>
      </w:r>
    </w:p>
    <w:p w14:paraId="60DB6B79" w14:textId="77777777" w:rsidR="0064331D" w:rsidRDefault="00804A0D" w:rsidP="00804A0D">
      <w:pPr>
        <w:numPr>
          <w:ilvl w:val="0"/>
          <w:numId w:val="14"/>
        </w:numPr>
        <w:tabs>
          <w:tab w:val="left" w:pos="4820"/>
        </w:tabs>
        <w:contextualSpacing/>
        <w:jc w:val="both"/>
        <w:rPr>
          <w:color w:val="44546A" w:themeColor="text2"/>
        </w:rPr>
      </w:pPr>
      <w:r w:rsidRPr="007D3C79">
        <w:rPr>
          <w:color w:val="44546A" w:themeColor="text2"/>
        </w:rPr>
        <w:t>methane (CH</w:t>
      </w:r>
      <w:r w:rsidRPr="003429C8">
        <w:rPr>
          <w:color w:val="44546A" w:themeColor="text2"/>
          <w:vertAlign w:val="subscript"/>
        </w:rPr>
        <w:t>4</w:t>
      </w:r>
      <w:r w:rsidRPr="007D3C79">
        <w:rPr>
          <w:color w:val="44546A" w:themeColor="text2"/>
        </w:rPr>
        <w:t>)</w:t>
      </w:r>
    </w:p>
    <w:p w14:paraId="009D1FBE" w14:textId="492AADDF" w:rsidR="00804A0D" w:rsidRPr="007D3C79" w:rsidRDefault="00804A0D" w:rsidP="00804A0D">
      <w:pPr>
        <w:numPr>
          <w:ilvl w:val="0"/>
          <w:numId w:val="14"/>
        </w:numPr>
        <w:tabs>
          <w:tab w:val="left" w:pos="4820"/>
        </w:tabs>
        <w:contextualSpacing/>
        <w:jc w:val="both"/>
        <w:rPr>
          <w:color w:val="44546A" w:themeColor="text2"/>
        </w:rPr>
      </w:pPr>
      <w:r w:rsidRPr="007D3C79">
        <w:rPr>
          <w:color w:val="44546A" w:themeColor="text2"/>
        </w:rPr>
        <w:t>nitrous oxide (N</w:t>
      </w:r>
      <w:r w:rsidRPr="003429C8">
        <w:rPr>
          <w:color w:val="44546A" w:themeColor="text2"/>
          <w:vertAlign w:val="subscript"/>
        </w:rPr>
        <w:t>2</w:t>
      </w:r>
      <w:r w:rsidRPr="007D3C79">
        <w:rPr>
          <w:color w:val="44546A" w:themeColor="text2"/>
        </w:rPr>
        <w:t>O)</w:t>
      </w:r>
    </w:p>
    <w:p w14:paraId="26D75D71" w14:textId="77777777" w:rsidR="00804A0D" w:rsidRPr="007D3C79" w:rsidRDefault="00804A0D" w:rsidP="00804A0D">
      <w:pPr>
        <w:numPr>
          <w:ilvl w:val="0"/>
          <w:numId w:val="14"/>
        </w:numPr>
        <w:tabs>
          <w:tab w:val="left" w:pos="4820"/>
        </w:tabs>
        <w:contextualSpacing/>
        <w:jc w:val="both"/>
        <w:rPr>
          <w:color w:val="44546A" w:themeColor="text2"/>
        </w:rPr>
      </w:pPr>
      <w:r w:rsidRPr="007D3C79">
        <w:rPr>
          <w:color w:val="44546A" w:themeColor="text2"/>
        </w:rPr>
        <w:t>hydrofluorocarbons (HFCs)</w:t>
      </w:r>
    </w:p>
    <w:p w14:paraId="2F289258" w14:textId="77777777" w:rsidR="00804A0D" w:rsidRPr="007D3C79" w:rsidRDefault="00804A0D" w:rsidP="00804A0D">
      <w:pPr>
        <w:numPr>
          <w:ilvl w:val="0"/>
          <w:numId w:val="14"/>
        </w:numPr>
        <w:tabs>
          <w:tab w:val="left" w:pos="4820"/>
        </w:tabs>
        <w:contextualSpacing/>
        <w:jc w:val="both"/>
        <w:rPr>
          <w:color w:val="44546A" w:themeColor="text2"/>
        </w:rPr>
      </w:pPr>
      <w:r w:rsidRPr="007D3C79">
        <w:rPr>
          <w:color w:val="44546A" w:themeColor="text2"/>
        </w:rPr>
        <w:t>perfluorocarbons (PFCs)</w:t>
      </w:r>
    </w:p>
    <w:p w14:paraId="4282F43A" w14:textId="77777777" w:rsidR="00804A0D" w:rsidRDefault="00804A0D" w:rsidP="00804A0D">
      <w:pPr>
        <w:numPr>
          <w:ilvl w:val="0"/>
          <w:numId w:val="14"/>
        </w:numPr>
        <w:tabs>
          <w:tab w:val="left" w:pos="4820"/>
        </w:tabs>
        <w:contextualSpacing/>
        <w:jc w:val="both"/>
        <w:rPr>
          <w:color w:val="44546A" w:themeColor="text2"/>
        </w:rPr>
      </w:pPr>
      <w:r w:rsidRPr="007D3C79">
        <w:rPr>
          <w:color w:val="44546A" w:themeColor="text2"/>
        </w:rPr>
        <w:t>sulphur hexafluoride (SF</w:t>
      </w:r>
      <w:r w:rsidRPr="003429C8">
        <w:rPr>
          <w:color w:val="44546A" w:themeColor="text2"/>
          <w:vertAlign w:val="subscript"/>
        </w:rPr>
        <w:t>6</w:t>
      </w:r>
      <w:r w:rsidRPr="007D3C79">
        <w:rPr>
          <w:color w:val="44546A" w:themeColor="text2"/>
        </w:rPr>
        <w:t>)</w:t>
      </w:r>
    </w:p>
    <w:p w14:paraId="719AD0DA" w14:textId="77777777" w:rsidR="00804A0D" w:rsidRPr="007D3C79" w:rsidRDefault="00804A0D" w:rsidP="007D3C79">
      <w:pPr>
        <w:tabs>
          <w:tab w:val="left" w:pos="4820"/>
        </w:tabs>
        <w:ind w:left="720"/>
        <w:contextualSpacing/>
        <w:jc w:val="both"/>
        <w:rPr>
          <w:color w:val="44546A" w:themeColor="text2"/>
        </w:rPr>
      </w:pPr>
    </w:p>
    <w:p w14:paraId="34E02462" w14:textId="77777777" w:rsidR="00804A0D" w:rsidRPr="007D3C79" w:rsidRDefault="00804A0D" w:rsidP="00804A0D">
      <w:pPr>
        <w:tabs>
          <w:tab w:val="left" w:pos="4820"/>
        </w:tabs>
        <w:jc w:val="both"/>
        <w:rPr>
          <w:color w:val="44546A" w:themeColor="text2"/>
        </w:rPr>
      </w:pPr>
      <w:r w:rsidRPr="007D3C79">
        <w:rPr>
          <w:color w:val="44546A" w:themeColor="text2"/>
        </w:rPr>
        <w:t>For CAML, the relevance of PFCs and SF</w:t>
      </w:r>
      <w:r w:rsidRPr="003429C8">
        <w:rPr>
          <w:color w:val="44546A" w:themeColor="text2"/>
          <w:vertAlign w:val="subscript"/>
        </w:rPr>
        <w:t>6</w:t>
      </w:r>
      <w:r w:rsidRPr="007D3C79">
        <w:rPr>
          <w:color w:val="44546A" w:themeColor="text2"/>
        </w:rPr>
        <w:t xml:space="preserve"> in the emissions inventory is typically considered non-essential, as these are not predominantly generated in its operations.</w:t>
      </w:r>
    </w:p>
    <w:p w14:paraId="15E09487" w14:textId="15F36A17" w:rsidR="00804A0D" w:rsidRPr="007D3C79" w:rsidRDefault="00804A0D" w:rsidP="00804A0D">
      <w:pPr>
        <w:tabs>
          <w:tab w:val="left" w:pos="4820"/>
        </w:tabs>
        <w:jc w:val="both"/>
        <w:rPr>
          <w:color w:val="44546A" w:themeColor="text2"/>
        </w:rPr>
      </w:pPr>
      <w:r w:rsidRPr="007D3C79">
        <w:rPr>
          <w:color w:val="44546A" w:themeColor="text2"/>
        </w:rPr>
        <w:t>For gases other than CO</w:t>
      </w:r>
      <w:r w:rsidRPr="003429C8">
        <w:rPr>
          <w:color w:val="44546A" w:themeColor="text2"/>
          <w:vertAlign w:val="subscript"/>
        </w:rPr>
        <w:t>2</w:t>
      </w:r>
      <w:r w:rsidRPr="007D3C79">
        <w:rPr>
          <w:color w:val="44546A" w:themeColor="text2"/>
        </w:rPr>
        <w:t>, a specific Global Warming Potential (GWP) is applied to account for their higher warming effect, resulting in a measure known as carbon dioxide equivalent (CO</w:t>
      </w:r>
      <w:r w:rsidRPr="003429C8">
        <w:rPr>
          <w:color w:val="44546A" w:themeColor="text2"/>
          <w:vertAlign w:val="subscript"/>
        </w:rPr>
        <w:t>2</w:t>
      </w:r>
      <w:r w:rsidRPr="007D3C79">
        <w:rPr>
          <w:color w:val="44546A" w:themeColor="text2"/>
        </w:rPr>
        <w:t>e). The GWP is a metric that compares the energy the emissions of 1 tonne of a gas will absorb over a given period, relative to the emissions of 1 tonne of CO</w:t>
      </w:r>
      <w:r w:rsidRPr="003C584C">
        <w:rPr>
          <w:color w:val="44546A" w:themeColor="text2"/>
          <w:vertAlign w:val="subscript"/>
        </w:rPr>
        <w:t>2</w:t>
      </w:r>
      <w:r w:rsidRPr="007D3C79">
        <w:rPr>
          <w:color w:val="44546A" w:themeColor="text2"/>
        </w:rPr>
        <w:t>, thereby providing a unified scale for understanding and reporting the impact of different greenhouse gases.</w:t>
      </w:r>
    </w:p>
    <w:p w14:paraId="1D74BE32" w14:textId="77777777" w:rsidR="00804A0D" w:rsidRDefault="00804A0D" w:rsidP="00E325F9">
      <w:pPr>
        <w:tabs>
          <w:tab w:val="left" w:pos="4820"/>
        </w:tabs>
        <w:jc w:val="both"/>
        <w:rPr>
          <w:color w:val="44546A" w:themeColor="text2"/>
        </w:rPr>
      </w:pPr>
    </w:p>
    <w:p w14:paraId="0C5B0A07" w14:textId="77777777" w:rsidR="00804A0D" w:rsidRDefault="00804A0D" w:rsidP="00E325F9">
      <w:pPr>
        <w:tabs>
          <w:tab w:val="left" w:pos="4820"/>
        </w:tabs>
        <w:jc w:val="both"/>
        <w:rPr>
          <w:color w:val="44546A" w:themeColor="text2"/>
        </w:rPr>
      </w:pPr>
    </w:p>
    <w:p w14:paraId="0385A21F" w14:textId="77777777" w:rsidR="00804A0D" w:rsidRDefault="00804A0D" w:rsidP="00E325F9">
      <w:pPr>
        <w:tabs>
          <w:tab w:val="left" w:pos="4820"/>
        </w:tabs>
        <w:jc w:val="both"/>
        <w:rPr>
          <w:color w:val="44546A" w:themeColor="text2"/>
        </w:rPr>
      </w:pPr>
    </w:p>
    <w:p w14:paraId="65B4B906" w14:textId="77777777" w:rsidR="00804A0D" w:rsidRDefault="00804A0D" w:rsidP="00E325F9">
      <w:pPr>
        <w:tabs>
          <w:tab w:val="left" w:pos="4820"/>
        </w:tabs>
        <w:jc w:val="both"/>
        <w:rPr>
          <w:color w:val="44546A" w:themeColor="text2"/>
        </w:rPr>
      </w:pPr>
    </w:p>
    <w:p w14:paraId="7B9F4992" w14:textId="77777777" w:rsidR="00804A0D" w:rsidRDefault="00804A0D" w:rsidP="00E325F9">
      <w:pPr>
        <w:tabs>
          <w:tab w:val="left" w:pos="4820"/>
        </w:tabs>
        <w:jc w:val="both"/>
        <w:rPr>
          <w:color w:val="44546A" w:themeColor="text2"/>
        </w:rPr>
      </w:pPr>
    </w:p>
    <w:p w14:paraId="3FE04C28" w14:textId="77777777" w:rsidR="007340FD" w:rsidRDefault="007340FD" w:rsidP="00E325F9">
      <w:pPr>
        <w:tabs>
          <w:tab w:val="left" w:pos="4820"/>
        </w:tabs>
        <w:jc w:val="both"/>
        <w:rPr>
          <w:color w:val="44546A" w:themeColor="text2"/>
        </w:rPr>
      </w:pPr>
    </w:p>
    <w:p w14:paraId="64B19654" w14:textId="77777777" w:rsidR="00804A0D" w:rsidRDefault="00804A0D" w:rsidP="00E325F9">
      <w:pPr>
        <w:tabs>
          <w:tab w:val="left" w:pos="4820"/>
        </w:tabs>
        <w:jc w:val="both"/>
        <w:rPr>
          <w:color w:val="44546A" w:themeColor="text2"/>
        </w:rPr>
      </w:pPr>
    </w:p>
    <w:p w14:paraId="08F72E05" w14:textId="77777777" w:rsidR="00804A0D" w:rsidRDefault="00804A0D" w:rsidP="00E325F9">
      <w:pPr>
        <w:tabs>
          <w:tab w:val="left" w:pos="4820"/>
        </w:tabs>
        <w:jc w:val="both"/>
        <w:rPr>
          <w:color w:val="44546A" w:themeColor="text2"/>
        </w:rPr>
      </w:pPr>
    </w:p>
    <w:p w14:paraId="63642981" w14:textId="77777777" w:rsidR="00804A0D" w:rsidRDefault="00804A0D" w:rsidP="00E325F9">
      <w:pPr>
        <w:tabs>
          <w:tab w:val="left" w:pos="4820"/>
        </w:tabs>
        <w:jc w:val="both"/>
        <w:rPr>
          <w:color w:val="44546A" w:themeColor="text2"/>
        </w:rPr>
      </w:pPr>
    </w:p>
    <w:p w14:paraId="312C2D93" w14:textId="16B67F98" w:rsidR="00804A0D" w:rsidRDefault="003D767F" w:rsidP="00804A0D">
      <w:pPr>
        <w:pStyle w:val="Heading1"/>
      </w:pPr>
      <w:bookmarkStart w:id="1" w:name="_Toc194670359"/>
      <w:r>
        <w:t>Our emissions</w:t>
      </w:r>
      <w:bookmarkEnd w:id="1"/>
    </w:p>
    <w:p w14:paraId="0BE5E9FB" w14:textId="77777777" w:rsidR="00EB0D3E" w:rsidRPr="00EB0D3E" w:rsidRDefault="00EB0D3E" w:rsidP="00EB0D3E">
      <w:pPr>
        <w:rPr>
          <w:lang w:val="en-CA"/>
        </w:rPr>
      </w:pPr>
    </w:p>
    <w:p w14:paraId="117952CB" w14:textId="3CCBE17E" w:rsidR="00D84170" w:rsidRDefault="00EB0D3E" w:rsidP="00EB0D3E">
      <w:pPr>
        <w:tabs>
          <w:tab w:val="left" w:pos="4820"/>
        </w:tabs>
        <w:jc w:val="center"/>
        <w:rPr>
          <w:rFonts w:eastAsia="Times New Roman" w:cs="Arial"/>
          <w:color w:val="44546A" w:themeColor="text2"/>
          <w:highlight w:val="yellow"/>
          <w14:ligatures w14:val="none"/>
        </w:rPr>
      </w:pPr>
      <w:r w:rsidRPr="00EB0D3E">
        <w:rPr>
          <w:rFonts w:eastAsia="Times New Roman" w:cs="Arial"/>
          <w:noProof/>
          <w:color w:val="44546A" w:themeColor="text2"/>
          <w14:ligatures w14:val="none"/>
        </w:rPr>
        <w:drawing>
          <wp:inline distT="0" distB="0" distL="0" distR="0" wp14:anchorId="74966966" wp14:editId="31B53EB3">
            <wp:extent cx="5524500" cy="4796142"/>
            <wp:effectExtent l="0" t="0" r="0" b="5080"/>
            <wp:docPr id="1212229412" name="Picture 1" descr="A diagram of a pro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29412" name="Picture 1" descr="A diagram of a project&#10;&#10;Description automatically generated with medium confidence"/>
                    <pic:cNvPicPr/>
                  </pic:nvPicPr>
                  <pic:blipFill>
                    <a:blip r:embed="rId13"/>
                    <a:stretch>
                      <a:fillRect/>
                    </a:stretch>
                  </pic:blipFill>
                  <pic:spPr>
                    <a:xfrm>
                      <a:off x="0" y="0"/>
                      <a:ext cx="5534349" cy="4804692"/>
                    </a:xfrm>
                    <a:prstGeom prst="rect">
                      <a:avLst/>
                    </a:prstGeom>
                  </pic:spPr>
                </pic:pic>
              </a:graphicData>
            </a:graphic>
          </wp:inline>
        </w:drawing>
      </w:r>
    </w:p>
    <w:p w14:paraId="39F3A5FC" w14:textId="7DDAEB5A" w:rsidR="00AC20B4" w:rsidRDefault="00AC20B4" w:rsidP="00AC20B4">
      <w:pPr>
        <w:pStyle w:val="Heading1"/>
      </w:pPr>
      <w:bookmarkStart w:id="2" w:name="_Toc194670360"/>
      <w:r>
        <w:t xml:space="preserve">Organisational </w:t>
      </w:r>
      <w:r w:rsidR="003D767F">
        <w:t>b</w:t>
      </w:r>
      <w:r>
        <w:t>oundary</w:t>
      </w:r>
      <w:bookmarkEnd w:id="2"/>
    </w:p>
    <w:p w14:paraId="611353A9" w14:textId="7206044F" w:rsidR="00AC20B4" w:rsidRDefault="00AC20B4" w:rsidP="00AC20B4">
      <w:pPr>
        <w:tabs>
          <w:tab w:val="left" w:pos="4820"/>
        </w:tabs>
        <w:jc w:val="both"/>
        <w:rPr>
          <w:color w:val="44546A" w:themeColor="text2"/>
        </w:rPr>
      </w:pPr>
      <w:r w:rsidRPr="007D3C79">
        <w:rPr>
          <w:color w:val="44546A" w:themeColor="text2"/>
        </w:rPr>
        <w:t xml:space="preserve">CAML's </w:t>
      </w:r>
      <w:r w:rsidR="003F486B">
        <w:rPr>
          <w:color w:val="44546A" w:themeColor="text2"/>
        </w:rPr>
        <w:t>methodology for estimating</w:t>
      </w:r>
      <w:r w:rsidRPr="007D3C79">
        <w:rPr>
          <w:color w:val="44546A" w:themeColor="text2"/>
        </w:rPr>
        <w:t xml:space="preserve"> GHG emissions encompasses all facilities under its operational control, including emissions from contractors at these sites. However, emissions from CAML’s corporate and regional offices, as well as exploration sites, are excluded from the Scope 1 and 2 GHG emissions inventory based on materiality considerations. When assessing Scope 3 GHG emissions, each category is individually evaluated for relevance and inclusion for the Scope 3 GHG emissions inventory. This assessment leads to the omission of leased assets, franchises, and investments, ensuring a focused and relevant emissions reporting.</w:t>
      </w:r>
    </w:p>
    <w:p w14:paraId="6AD7715E" w14:textId="77777777" w:rsidR="003D767F" w:rsidRDefault="003D767F" w:rsidP="00AC20B4">
      <w:pPr>
        <w:tabs>
          <w:tab w:val="left" w:pos="4820"/>
        </w:tabs>
        <w:jc w:val="both"/>
        <w:rPr>
          <w:color w:val="44546A" w:themeColor="text2"/>
        </w:rPr>
      </w:pPr>
    </w:p>
    <w:p w14:paraId="73600428" w14:textId="77777777" w:rsidR="003D767F" w:rsidRDefault="003D767F" w:rsidP="00AC20B4">
      <w:pPr>
        <w:tabs>
          <w:tab w:val="left" w:pos="4820"/>
        </w:tabs>
        <w:jc w:val="both"/>
        <w:rPr>
          <w:color w:val="44546A" w:themeColor="text2"/>
        </w:rPr>
      </w:pPr>
    </w:p>
    <w:p w14:paraId="31C798D3" w14:textId="77777777" w:rsidR="003D767F" w:rsidRPr="007D3C79" w:rsidRDefault="003D767F" w:rsidP="007D3C79">
      <w:pPr>
        <w:tabs>
          <w:tab w:val="left" w:pos="4820"/>
        </w:tabs>
        <w:jc w:val="both"/>
        <w:rPr>
          <w:color w:val="44546A" w:themeColor="text2"/>
        </w:rPr>
      </w:pPr>
    </w:p>
    <w:p w14:paraId="628946B2" w14:textId="4BBEEBA7" w:rsidR="0073696E" w:rsidRPr="00941FF7" w:rsidRDefault="0073696E" w:rsidP="00172920">
      <w:pPr>
        <w:pStyle w:val="Heading1"/>
      </w:pPr>
      <w:bookmarkStart w:id="3" w:name="_Toc194670361"/>
      <w:r w:rsidRPr="00941FF7">
        <w:lastRenderedPageBreak/>
        <w:t>Scope 1 and Scope 2</w:t>
      </w:r>
      <w:r w:rsidR="00BF46A2">
        <w:t>:</w:t>
      </w:r>
      <w:r w:rsidR="007C2FFA" w:rsidRPr="00941FF7">
        <w:t xml:space="preserve"> </w:t>
      </w:r>
      <w:r w:rsidR="00DC11C7">
        <w:t>m</w:t>
      </w:r>
      <w:r w:rsidR="007C2FFA" w:rsidRPr="00941FF7">
        <w:t>ethodology overview</w:t>
      </w:r>
      <w:bookmarkEnd w:id="3"/>
      <w:r w:rsidR="007C2FFA" w:rsidRPr="00941FF7">
        <w:t xml:space="preserve"> </w:t>
      </w:r>
    </w:p>
    <w:p w14:paraId="7727C4C7" w14:textId="6A79ED16" w:rsidR="002A1CC2" w:rsidRPr="00941FF7" w:rsidRDefault="002A1CC2" w:rsidP="00172920">
      <w:pPr>
        <w:pStyle w:val="Heading2"/>
      </w:pPr>
      <w:bookmarkStart w:id="4" w:name="_Toc194670362"/>
      <w:r w:rsidRPr="00941FF7">
        <w:t>Scope 1</w:t>
      </w:r>
      <w:bookmarkEnd w:id="4"/>
    </w:p>
    <w:p w14:paraId="5A4CCAE6" w14:textId="667C58CC" w:rsidR="006075BA" w:rsidRPr="008F0D85" w:rsidRDefault="006075BA" w:rsidP="00D16A3F">
      <w:pPr>
        <w:pStyle w:val="Heading4"/>
        <w:rPr>
          <w:i w:val="0"/>
        </w:rPr>
      </w:pPr>
      <w:r w:rsidRPr="008F0D85">
        <w:t>Definition</w:t>
      </w:r>
    </w:p>
    <w:p w14:paraId="56BBA410" w14:textId="744216EF" w:rsidR="008E1DF5" w:rsidRPr="008F0D85" w:rsidRDefault="00C80849" w:rsidP="00E325F9">
      <w:pPr>
        <w:tabs>
          <w:tab w:val="left" w:pos="4820"/>
        </w:tabs>
        <w:jc w:val="both"/>
        <w:rPr>
          <w:color w:val="44546A" w:themeColor="text2"/>
        </w:rPr>
      </w:pPr>
      <w:r w:rsidRPr="008F0D85">
        <w:rPr>
          <w:color w:val="44546A" w:themeColor="text2"/>
        </w:rPr>
        <w:t>Scope 1 emissions</w:t>
      </w:r>
      <w:r w:rsidR="00C31BF3" w:rsidRPr="008F0D85">
        <w:rPr>
          <w:color w:val="44546A" w:themeColor="text2"/>
        </w:rPr>
        <w:t xml:space="preserve"> </w:t>
      </w:r>
      <w:r w:rsidR="00C36CF2" w:rsidRPr="008F0D85">
        <w:rPr>
          <w:color w:val="44546A" w:themeColor="text2"/>
        </w:rPr>
        <w:t>encompass</w:t>
      </w:r>
      <w:r w:rsidR="00C31BF3" w:rsidRPr="008F0D85">
        <w:rPr>
          <w:color w:val="44546A" w:themeColor="text2"/>
        </w:rPr>
        <w:t xml:space="preserve"> direct </w:t>
      </w:r>
      <w:r w:rsidR="003C6A7F" w:rsidRPr="008F0D85">
        <w:rPr>
          <w:color w:val="44546A" w:themeColor="text2"/>
        </w:rPr>
        <w:t>GHG</w:t>
      </w:r>
      <w:r w:rsidR="00F123B7" w:rsidRPr="008F0D85">
        <w:rPr>
          <w:color w:val="44546A" w:themeColor="text2"/>
        </w:rPr>
        <w:t xml:space="preserve"> </w:t>
      </w:r>
      <w:r w:rsidR="00C31BF3" w:rsidRPr="008F0D85">
        <w:rPr>
          <w:color w:val="44546A" w:themeColor="text2"/>
        </w:rPr>
        <w:t xml:space="preserve">emissions originating from </w:t>
      </w:r>
      <w:r w:rsidR="00C36CF2" w:rsidRPr="008F0D85">
        <w:rPr>
          <w:color w:val="44546A" w:themeColor="text2"/>
        </w:rPr>
        <w:t>CAML’s</w:t>
      </w:r>
      <w:r w:rsidR="00C31BF3" w:rsidRPr="008F0D85">
        <w:rPr>
          <w:color w:val="44546A" w:themeColor="text2"/>
        </w:rPr>
        <w:t xml:space="preserve"> own activities or sources under its </w:t>
      </w:r>
      <w:r w:rsidR="008852BD">
        <w:rPr>
          <w:color w:val="44546A" w:themeColor="text2"/>
        </w:rPr>
        <w:t>operational</w:t>
      </w:r>
      <w:r w:rsidR="00107C57">
        <w:rPr>
          <w:color w:val="44546A" w:themeColor="text2"/>
        </w:rPr>
        <w:t xml:space="preserve"> </w:t>
      </w:r>
      <w:r w:rsidR="00C31BF3" w:rsidRPr="008F0D85">
        <w:rPr>
          <w:color w:val="44546A" w:themeColor="text2"/>
        </w:rPr>
        <w:t xml:space="preserve">control. </w:t>
      </w:r>
    </w:p>
    <w:p w14:paraId="317B0227" w14:textId="2C20076E" w:rsidR="005A4D63" w:rsidRPr="008F0D85" w:rsidRDefault="00AD65FD" w:rsidP="00D16A3F">
      <w:pPr>
        <w:pStyle w:val="Heading4"/>
        <w:rPr>
          <w:i w:val="0"/>
        </w:rPr>
      </w:pPr>
      <w:r w:rsidRPr="008F0D85">
        <w:t>Calculation boundary</w:t>
      </w:r>
    </w:p>
    <w:p w14:paraId="057B8CBC" w14:textId="27B8C0B7" w:rsidR="00183CC8" w:rsidRPr="008F0D85" w:rsidRDefault="00183CC8" w:rsidP="00E325F9">
      <w:pPr>
        <w:tabs>
          <w:tab w:val="left" w:pos="4820"/>
        </w:tabs>
        <w:jc w:val="both"/>
        <w:rPr>
          <w:color w:val="44546A" w:themeColor="text2"/>
        </w:rPr>
      </w:pPr>
      <w:r w:rsidRPr="008F0D85">
        <w:rPr>
          <w:color w:val="44546A" w:themeColor="text2"/>
        </w:rPr>
        <w:t>The</w:t>
      </w:r>
      <w:r w:rsidR="00455D7F" w:rsidRPr="008F0D85">
        <w:rPr>
          <w:color w:val="44546A" w:themeColor="text2"/>
        </w:rPr>
        <w:t xml:space="preserve"> calculation </w:t>
      </w:r>
      <w:r w:rsidR="001B2776" w:rsidRPr="008F0D85">
        <w:rPr>
          <w:color w:val="44546A" w:themeColor="text2"/>
        </w:rPr>
        <w:t>boundary</w:t>
      </w:r>
      <w:r w:rsidR="00455D7F" w:rsidRPr="008F0D85">
        <w:rPr>
          <w:color w:val="44546A" w:themeColor="text2"/>
        </w:rPr>
        <w:t xml:space="preserve"> has been defined on an o</w:t>
      </w:r>
      <w:r w:rsidR="00B76A68" w:rsidRPr="008F0D85">
        <w:rPr>
          <w:color w:val="44546A" w:themeColor="text2"/>
        </w:rPr>
        <w:t xml:space="preserve">perational control basis </w:t>
      </w:r>
      <w:r w:rsidR="00CB0A68" w:rsidRPr="008F0D85">
        <w:rPr>
          <w:color w:val="44546A" w:themeColor="text2"/>
        </w:rPr>
        <w:t>and from sources we own and control.</w:t>
      </w:r>
    </w:p>
    <w:p w14:paraId="1DB8E75F" w14:textId="499B73F8" w:rsidR="001A5445" w:rsidRPr="0095767A" w:rsidRDefault="000B5DC2" w:rsidP="00E325F9">
      <w:pPr>
        <w:pStyle w:val="ListParagraph"/>
        <w:numPr>
          <w:ilvl w:val="0"/>
          <w:numId w:val="3"/>
        </w:numPr>
        <w:tabs>
          <w:tab w:val="left" w:pos="4820"/>
        </w:tabs>
        <w:jc w:val="both"/>
        <w:rPr>
          <w:color w:val="44546A" w:themeColor="text2"/>
        </w:rPr>
      </w:pPr>
      <w:r>
        <w:rPr>
          <w:color w:val="44546A" w:themeColor="text2"/>
        </w:rPr>
        <w:t>Mobile f</w:t>
      </w:r>
      <w:r w:rsidR="006703B3" w:rsidRPr="0095767A">
        <w:rPr>
          <w:color w:val="44546A" w:themeColor="text2"/>
        </w:rPr>
        <w:t xml:space="preserve">leet </w:t>
      </w:r>
      <w:r w:rsidR="003C0DBB" w:rsidRPr="0095767A">
        <w:rPr>
          <w:color w:val="44546A" w:themeColor="text2"/>
        </w:rPr>
        <w:t xml:space="preserve">combustion </w:t>
      </w:r>
      <w:r w:rsidR="0086550C" w:rsidRPr="0095767A">
        <w:rPr>
          <w:color w:val="44546A" w:themeColor="text2"/>
        </w:rPr>
        <w:t xml:space="preserve">– </w:t>
      </w:r>
      <w:r w:rsidR="008C6293" w:rsidRPr="0095767A">
        <w:rPr>
          <w:color w:val="44546A" w:themeColor="text2"/>
        </w:rPr>
        <w:t>Emissions a</w:t>
      </w:r>
      <w:r w:rsidR="009946C3" w:rsidRPr="0095767A">
        <w:rPr>
          <w:color w:val="44546A" w:themeColor="text2"/>
        </w:rPr>
        <w:t>ris</w:t>
      </w:r>
      <w:r w:rsidR="008C6293" w:rsidRPr="0095767A">
        <w:rPr>
          <w:color w:val="44546A" w:themeColor="text2"/>
        </w:rPr>
        <w:t>ing</w:t>
      </w:r>
      <w:r w:rsidR="009946C3" w:rsidRPr="0095767A">
        <w:rPr>
          <w:color w:val="44546A" w:themeColor="text2"/>
        </w:rPr>
        <w:t xml:space="preserve"> from combustion as part of working machines and internal transport. </w:t>
      </w:r>
      <w:r w:rsidR="0086550C" w:rsidRPr="0095767A">
        <w:rPr>
          <w:color w:val="44546A" w:themeColor="text2"/>
        </w:rPr>
        <w:t xml:space="preserve">These are mine haul trucks, drilling machines, transport vehicles etc. </w:t>
      </w:r>
      <w:r w:rsidR="00A952CB" w:rsidRPr="0095767A">
        <w:rPr>
          <w:color w:val="44546A" w:themeColor="text2"/>
        </w:rPr>
        <w:t xml:space="preserve">and emit </w:t>
      </w:r>
      <w:r w:rsidR="00566B68" w:rsidRPr="0095767A">
        <w:rPr>
          <w:color w:val="44546A" w:themeColor="text2"/>
        </w:rPr>
        <w:t xml:space="preserve">carbon dioxide </w:t>
      </w:r>
      <w:r w:rsidR="006B0FC9" w:rsidRPr="0095767A">
        <w:rPr>
          <w:color w:val="44546A" w:themeColor="text2"/>
        </w:rPr>
        <w:t>(CO</w:t>
      </w:r>
      <w:r w:rsidR="006B0FC9" w:rsidRPr="0095767A">
        <w:rPr>
          <w:color w:val="44546A" w:themeColor="text2"/>
          <w:vertAlign w:val="subscript"/>
        </w:rPr>
        <w:t>2</w:t>
      </w:r>
      <w:r w:rsidR="006B0FC9" w:rsidRPr="0095767A">
        <w:rPr>
          <w:color w:val="44546A" w:themeColor="text2"/>
        </w:rPr>
        <w:t xml:space="preserve">), </w:t>
      </w:r>
      <w:r w:rsidR="00566B68" w:rsidRPr="0095767A">
        <w:rPr>
          <w:color w:val="44546A" w:themeColor="text2"/>
        </w:rPr>
        <w:t>methane</w:t>
      </w:r>
      <w:r w:rsidR="006B0FC9" w:rsidRPr="0095767A">
        <w:rPr>
          <w:color w:val="44546A" w:themeColor="text2"/>
        </w:rPr>
        <w:t xml:space="preserve"> (CH</w:t>
      </w:r>
      <w:r w:rsidR="006B0FC9" w:rsidRPr="0095767A">
        <w:rPr>
          <w:color w:val="44546A" w:themeColor="text2"/>
          <w:vertAlign w:val="subscript"/>
        </w:rPr>
        <w:t>4</w:t>
      </w:r>
      <w:r w:rsidR="006B0FC9" w:rsidRPr="0095767A">
        <w:rPr>
          <w:color w:val="44546A" w:themeColor="text2"/>
        </w:rPr>
        <w:t xml:space="preserve">) and </w:t>
      </w:r>
      <w:r w:rsidR="00566B68" w:rsidRPr="0095767A">
        <w:rPr>
          <w:color w:val="44546A" w:themeColor="text2"/>
        </w:rPr>
        <w:t xml:space="preserve">nitrous oxide </w:t>
      </w:r>
      <w:r w:rsidR="006B0FC9" w:rsidRPr="0095767A">
        <w:rPr>
          <w:color w:val="44546A" w:themeColor="text2"/>
        </w:rPr>
        <w:t>(N</w:t>
      </w:r>
      <w:r w:rsidR="006B0FC9" w:rsidRPr="0095767A">
        <w:rPr>
          <w:color w:val="44546A" w:themeColor="text2"/>
          <w:vertAlign w:val="subscript"/>
        </w:rPr>
        <w:t>2</w:t>
      </w:r>
      <w:r w:rsidR="006B0FC9" w:rsidRPr="0095767A">
        <w:rPr>
          <w:color w:val="44546A" w:themeColor="text2"/>
        </w:rPr>
        <w:t>O)</w:t>
      </w:r>
      <w:r w:rsidR="00A952CB" w:rsidRPr="0095767A">
        <w:rPr>
          <w:color w:val="44546A" w:themeColor="text2"/>
        </w:rPr>
        <w:t xml:space="preserve"> emissions from </w:t>
      </w:r>
      <w:r w:rsidR="00765CB4" w:rsidRPr="0095767A">
        <w:rPr>
          <w:color w:val="44546A" w:themeColor="text2"/>
        </w:rPr>
        <w:t>vehicles.</w:t>
      </w:r>
    </w:p>
    <w:p w14:paraId="320EB7E2" w14:textId="5D4FE365" w:rsidR="00C95DC5" w:rsidRPr="0095767A" w:rsidRDefault="00D15B6E" w:rsidP="00E325F9">
      <w:pPr>
        <w:pStyle w:val="ListParagraph"/>
        <w:numPr>
          <w:ilvl w:val="0"/>
          <w:numId w:val="3"/>
        </w:numPr>
        <w:tabs>
          <w:tab w:val="left" w:pos="4820"/>
        </w:tabs>
        <w:jc w:val="both"/>
        <w:rPr>
          <w:color w:val="44546A" w:themeColor="text2"/>
        </w:rPr>
      </w:pPr>
      <w:r w:rsidRPr="0095767A">
        <w:rPr>
          <w:color w:val="44546A" w:themeColor="text2"/>
        </w:rPr>
        <w:t xml:space="preserve">Combustion or detonation of </w:t>
      </w:r>
      <w:r w:rsidR="00ED296C" w:rsidRPr="0095767A">
        <w:rPr>
          <w:color w:val="44546A" w:themeColor="text2"/>
        </w:rPr>
        <w:t xml:space="preserve">explosive </w:t>
      </w:r>
      <w:r w:rsidRPr="0095767A">
        <w:rPr>
          <w:color w:val="44546A" w:themeColor="text2"/>
        </w:rPr>
        <w:t>materials</w:t>
      </w:r>
      <w:r w:rsidR="00C95DC5" w:rsidRPr="0095767A">
        <w:rPr>
          <w:color w:val="44546A" w:themeColor="text2"/>
        </w:rPr>
        <w:t xml:space="preserve"> - The explosives used at Sasa</w:t>
      </w:r>
      <w:r w:rsidR="00B354E2" w:rsidRPr="0095767A">
        <w:rPr>
          <w:color w:val="44546A" w:themeColor="text2"/>
        </w:rPr>
        <w:t xml:space="preserve"> mine</w:t>
      </w:r>
      <w:r w:rsidR="00C95DC5" w:rsidRPr="0095767A">
        <w:rPr>
          <w:color w:val="44546A" w:themeColor="text2"/>
        </w:rPr>
        <w:t xml:space="preserve"> are Ammonite explosives</w:t>
      </w:r>
      <w:r w:rsidR="00C71F7F" w:rsidRPr="0095767A">
        <w:rPr>
          <w:color w:val="44546A" w:themeColor="text2"/>
        </w:rPr>
        <w:t xml:space="preserve"> containing</w:t>
      </w:r>
      <w:r w:rsidR="00C95DC5" w:rsidRPr="0095767A">
        <w:rPr>
          <w:color w:val="44546A" w:themeColor="text2"/>
        </w:rPr>
        <w:t xml:space="preserve"> </w:t>
      </w:r>
      <w:r w:rsidR="00DB59A4" w:rsidRPr="0095767A">
        <w:rPr>
          <w:color w:val="44546A" w:themeColor="text2"/>
        </w:rPr>
        <w:t xml:space="preserve">ammonium nitrate </w:t>
      </w:r>
      <w:r w:rsidR="00CE3DE9" w:rsidRPr="0095767A">
        <w:rPr>
          <w:color w:val="44546A" w:themeColor="text2"/>
        </w:rPr>
        <w:t>(NH</w:t>
      </w:r>
      <w:r w:rsidR="00CE3DE9" w:rsidRPr="0095767A">
        <w:rPr>
          <w:color w:val="44546A" w:themeColor="text2"/>
          <w:vertAlign w:val="subscript"/>
        </w:rPr>
        <w:t>4</w:t>
      </w:r>
      <w:r w:rsidR="00CE3DE9" w:rsidRPr="0095767A">
        <w:rPr>
          <w:color w:val="44546A" w:themeColor="text2"/>
        </w:rPr>
        <w:t>NO</w:t>
      </w:r>
      <w:r w:rsidR="00CE3DE9" w:rsidRPr="0095767A">
        <w:rPr>
          <w:color w:val="44546A" w:themeColor="text2"/>
          <w:vertAlign w:val="subscript"/>
        </w:rPr>
        <w:t>3</w:t>
      </w:r>
      <w:r w:rsidR="00CE3DE9" w:rsidRPr="0095767A">
        <w:rPr>
          <w:color w:val="44546A" w:themeColor="text2"/>
        </w:rPr>
        <w:t>)</w:t>
      </w:r>
      <w:r w:rsidR="00C95DC5" w:rsidRPr="0095767A">
        <w:rPr>
          <w:color w:val="44546A" w:themeColor="text2"/>
        </w:rPr>
        <w:t xml:space="preserve">, </w:t>
      </w:r>
      <w:r w:rsidR="00DB59A4" w:rsidRPr="0095767A">
        <w:rPr>
          <w:color w:val="44546A" w:themeColor="text2"/>
        </w:rPr>
        <w:t xml:space="preserve">trinitrotoluene </w:t>
      </w:r>
      <w:r w:rsidR="00FA6059" w:rsidRPr="0095767A">
        <w:rPr>
          <w:color w:val="44546A" w:themeColor="text2"/>
        </w:rPr>
        <w:t>(TNT)</w:t>
      </w:r>
      <w:r w:rsidR="00C95DC5" w:rsidRPr="0095767A">
        <w:rPr>
          <w:color w:val="44546A" w:themeColor="text2"/>
        </w:rPr>
        <w:t xml:space="preserve"> and </w:t>
      </w:r>
      <w:r w:rsidR="00DB59A4" w:rsidRPr="0095767A">
        <w:rPr>
          <w:color w:val="44546A" w:themeColor="text2"/>
        </w:rPr>
        <w:t>diesel fuel</w:t>
      </w:r>
      <w:r w:rsidR="00C71F7F" w:rsidRPr="0095767A">
        <w:rPr>
          <w:color w:val="44546A" w:themeColor="text2"/>
        </w:rPr>
        <w:t>, releasing</w:t>
      </w:r>
      <w:r w:rsidRPr="0095767A">
        <w:rPr>
          <w:color w:val="44546A" w:themeColor="text2"/>
        </w:rPr>
        <w:t xml:space="preserve"> </w:t>
      </w:r>
      <w:r w:rsidR="006B0FC9" w:rsidRPr="0095767A">
        <w:rPr>
          <w:color w:val="44546A" w:themeColor="text2"/>
        </w:rPr>
        <w:t>CO</w:t>
      </w:r>
      <w:r w:rsidR="006B0FC9" w:rsidRPr="0095767A">
        <w:rPr>
          <w:color w:val="44546A" w:themeColor="text2"/>
          <w:vertAlign w:val="subscript"/>
        </w:rPr>
        <w:t>2</w:t>
      </w:r>
      <w:r w:rsidR="006B0FC9" w:rsidRPr="0095767A">
        <w:rPr>
          <w:color w:val="44546A" w:themeColor="text2"/>
        </w:rPr>
        <w:t xml:space="preserve"> </w:t>
      </w:r>
      <w:r w:rsidR="00C47416" w:rsidRPr="0095767A">
        <w:rPr>
          <w:color w:val="44546A" w:themeColor="text2"/>
        </w:rPr>
        <w:t>and NO</w:t>
      </w:r>
      <w:r w:rsidR="00C47416" w:rsidRPr="0095767A">
        <w:rPr>
          <w:color w:val="44546A" w:themeColor="text2"/>
          <w:vertAlign w:val="subscript"/>
        </w:rPr>
        <w:t>x</w:t>
      </w:r>
      <w:r w:rsidR="0086781C" w:rsidRPr="0095767A">
        <w:rPr>
          <w:color w:val="44546A" w:themeColor="text2"/>
        </w:rPr>
        <w:t>.</w:t>
      </w:r>
    </w:p>
    <w:p w14:paraId="7CC70DBC" w14:textId="4590664B" w:rsidR="00574C3F" w:rsidRPr="0095767A" w:rsidRDefault="00902D44" w:rsidP="00E325F9">
      <w:pPr>
        <w:pStyle w:val="ListParagraph"/>
        <w:numPr>
          <w:ilvl w:val="0"/>
          <w:numId w:val="3"/>
        </w:numPr>
        <w:tabs>
          <w:tab w:val="left" w:pos="4820"/>
        </w:tabs>
        <w:jc w:val="both"/>
        <w:rPr>
          <w:color w:val="44546A" w:themeColor="text2"/>
        </w:rPr>
      </w:pPr>
      <w:r w:rsidRPr="0095767A">
        <w:rPr>
          <w:color w:val="44546A" w:themeColor="text2"/>
        </w:rPr>
        <w:t>Stationary combustion</w:t>
      </w:r>
      <w:r w:rsidR="00574C3F" w:rsidRPr="0095767A">
        <w:rPr>
          <w:color w:val="44546A" w:themeColor="text2"/>
        </w:rPr>
        <w:t xml:space="preserve"> </w:t>
      </w:r>
      <w:r w:rsidR="00AB3BB9" w:rsidRPr="0095767A">
        <w:rPr>
          <w:color w:val="44546A" w:themeColor="text2"/>
        </w:rPr>
        <w:t>–</w:t>
      </w:r>
      <w:r w:rsidR="00574C3F" w:rsidRPr="0095767A">
        <w:rPr>
          <w:color w:val="44546A" w:themeColor="text2"/>
        </w:rPr>
        <w:t xml:space="preserve"> </w:t>
      </w:r>
      <w:r w:rsidR="00AB3BB9" w:rsidRPr="0095767A">
        <w:rPr>
          <w:color w:val="44546A" w:themeColor="text2"/>
        </w:rPr>
        <w:t xml:space="preserve">Emissions resulting from combustion of </w:t>
      </w:r>
      <w:r w:rsidRPr="0095767A">
        <w:rPr>
          <w:color w:val="44546A" w:themeColor="text2"/>
        </w:rPr>
        <w:t>fossil fuels</w:t>
      </w:r>
      <w:r w:rsidR="00B16A40" w:rsidRPr="0095767A">
        <w:rPr>
          <w:color w:val="44546A" w:themeColor="text2"/>
        </w:rPr>
        <w:t>,</w:t>
      </w:r>
      <w:r w:rsidRPr="0095767A">
        <w:rPr>
          <w:color w:val="44546A" w:themeColor="text2"/>
        </w:rPr>
        <w:t xml:space="preserve"> such as </w:t>
      </w:r>
      <w:r w:rsidR="00446291" w:rsidRPr="0095767A">
        <w:rPr>
          <w:color w:val="44546A" w:themeColor="text2"/>
        </w:rPr>
        <w:t xml:space="preserve">coal </w:t>
      </w:r>
      <w:r w:rsidR="00574C3F" w:rsidRPr="0095767A">
        <w:rPr>
          <w:color w:val="44546A" w:themeColor="text2"/>
        </w:rPr>
        <w:t>at our boiler house</w:t>
      </w:r>
      <w:r w:rsidR="008C6293" w:rsidRPr="0095767A">
        <w:rPr>
          <w:color w:val="44546A" w:themeColor="text2"/>
        </w:rPr>
        <w:t>s</w:t>
      </w:r>
      <w:r w:rsidR="00574C3F" w:rsidRPr="0095767A">
        <w:rPr>
          <w:color w:val="44546A" w:themeColor="text2"/>
        </w:rPr>
        <w:t xml:space="preserve"> in Kounrad</w:t>
      </w:r>
      <w:r w:rsidR="0086781C" w:rsidRPr="0095767A">
        <w:rPr>
          <w:color w:val="44546A" w:themeColor="text2"/>
        </w:rPr>
        <w:t>.</w:t>
      </w:r>
    </w:p>
    <w:p w14:paraId="5148176A" w14:textId="54523A95" w:rsidR="00372B2F" w:rsidRPr="008F0D85" w:rsidRDefault="00622A25" w:rsidP="47818EDB">
      <w:pPr>
        <w:pStyle w:val="ListParagraph"/>
        <w:numPr>
          <w:ilvl w:val="0"/>
          <w:numId w:val="3"/>
        </w:numPr>
        <w:tabs>
          <w:tab w:val="left" w:pos="4820"/>
        </w:tabs>
        <w:jc w:val="both"/>
        <w:rPr>
          <w:color w:val="44546A" w:themeColor="text2"/>
        </w:rPr>
      </w:pPr>
      <w:r w:rsidRPr="0095767A">
        <w:rPr>
          <w:color w:val="44546A" w:themeColor="text2"/>
        </w:rPr>
        <w:t>Fugitive Emissions - Hydrofluorocarbon (HFC) emissions from refrigeration and air conditioning</w:t>
      </w:r>
      <w:r w:rsidRPr="008F0D85">
        <w:rPr>
          <w:color w:val="44546A" w:themeColor="text2"/>
        </w:rPr>
        <w:t xml:space="preserve"> equipment</w:t>
      </w:r>
      <w:r w:rsidR="00B16A40" w:rsidRPr="008F0D85">
        <w:rPr>
          <w:color w:val="44546A" w:themeColor="text2"/>
        </w:rPr>
        <w:t>.</w:t>
      </w:r>
    </w:p>
    <w:p w14:paraId="3D684C23" w14:textId="1535F015" w:rsidR="005A4D63" w:rsidRPr="008F0D85" w:rsidRDefault="006075BA" w:rsidP="00D16A3F">
      <w:pPr>
        <w:pStyle w:val="Heading4"/>
        <w:rPr>
          <w:i w:val="0"/>
        </w:rPr>
      </w:pPr>
      <w:r w:rsidRPr="008F0D85">
        <w:t>Calculation methodology</w:t>
      </w:r>
    </w:p>
    <w:p w14:paraId="3B4AA4AE" w14:textId="7E9746E3" w:rsidR="006075BA" w:rsidRPr="008F0D85" w:rsidRDefault="00A76B31" w:rsidP="00E325F9">
      <w:pPr>
        <w:tabs>
          <w:tab w:val="left" w:pos="4820"/>
        </w:tabs>
        <w:jc w:val="both"/>
        <w:rPr>
          <w:rFonts w:eastAsia="Times New Roman"/>
          <w:color w:val="44546A" w:themeColor="text2"/>
        </w:rPr>
      </w:pPr>
      <w:r w:rsidRPr="008F0D85">
        <w:rPr>
          <w:rFonts w:eastAsia="Times New Roman"/>
          <w:color w:val="44546A" w:themeColor="text2"/>
        </w:rPr>
        <w:t xml:space="preserve">For </w:t>
      </w:r>
      <w:r w:rsidR="00765CB4" w:rsidRPr="008F0D85">
        <w:rPr>
          <w:rFonts w:eastAsia="Times New Roman"/>
          <w:color w:val="44546A" w:themeColor="text2"/>
        </w:rPr>
        <w:t xml:space="preserve">Scope </w:t>
      </w:r>
      <w:r w:rsidRPr="008F0D85">
        <w:rPr>
          <w:rFonts w:eastAsia="Times New Roman"/>
          <w:color w:val="44546A" w:themeColor="text2"/>
        </w:rPr>
        <w:t xml:space="preserve">1 emissions </w:t>
      </w:r>
      <w:r w:rsidR="007C3B3B" w:rsidRPr="008F0D85">
        <w:rPr>
          <w:rFonts w:eastAsia="Times New Roman"/>
          <w:color w:val="44546A" w:themeColor="text2"/>
        </w:rPr>
        <w:t>the data is collected from various sources</w:t>
      </w:r>
      <w:r w:rsidR="00283B99" w:rsidRPr="008F0D85">
        <w:rPr>
          <w:rFonts w:eastAsia="Times New Roman"/>
          <w:color w:val="44546A" w:themeColor="text2"/>
        </w:rPr>
        <w:t>:</w:t>
      </w:r>
    </w:p>
    <w:p w14:paraId="59ED9769" w14:textId="22227CB5" w:rsidR="00AD65FD" w:rsidRPr="008F0D85" w:rsidRDefault="007C3B3B" w:rsidP="00D16A3F">
      <w:pPr>
        <w:pStyle w:val="Heading5"/>
        <w:rPr>
          <w:u w:val="single"/>
        </w:rPr>
      </w:pPr>
      <w:r w:rsidRPr="008F0D85">
        <w:t xml:space="preserve">Fleet </w:t>
      </w:r>
      <w:r w:rsidR="00ED296C" w:rsidRPr="008F0D85">
        <w:t xml:space="preserve">mobile </w:t>
      </w:r>
      <w:r w:rsidRPr="008F0D85">
        <w:t>combustion</w:t>
      </w:r>
    </w:p>
    <w:p w14:paraId="128C894C" w14:textId="37B63210" w:rsidR="00937D7E" w:rsidRPr="008F0D85" w:rsidRDefault="00937D7E" w:rsidP="00902D44">
      <w:pPr>
        <w:tabs>
          <w:tab w:val="left" w:pos="4820"/>
        </w:tabs>
        <w:jc w:val="both"/>
        <w:rPr>
          <w:rFonts w:eastAsia="Times New Roman"/>
          <w:color w:val="44546A" w:themeColor="text2"/>
        </w:rPr>
      </w:pPr>
      <w:r w:rsidRPr="008F0D85">
        <w:rPr>
          <w:rFonts w:eastAsia="Times New Roman"/>
          <w:color w:val="44546A" w:themeColor="text2"/>
        </w:rPr>
        <w:t xml:space="preserve">The combustion from </w:t>
      </w:r>
      <w:r w:rsidR="0041370B" w:rsidRPr="008F0D85">
        <w:rPr>
          <w:rFonts w:eastAsia="Times New Roman"/>
          <w:color w:val="44546A" w:themeColor="text2"/>
        </w:rPr>
        <w:t>our</w:t>
      </w:r>
      <w:r w:rsidR="00030FFF" w:rsidRPr="008F0D85">
        <w:rPr>
          <w:rFonts w:eastAsia="Times New Roman"/>
          <w:color w:val="44546A" w:themeColor="text2"/>
        </w:rPr>
        <w:t xml:space="preserve"> </w:t>
      </w:r>
      <w:r w:rsidRPr="008F0D85">
        <w:rPr>
          <w:rFonts w:eastAsia="Times New Roman"/>
          <w:color w:val="44546A" w:themeColor="text2"/>
        </w:rPr>
        <w:t>fleet is calculated by collecting</w:t>
      </w:r>
      <w:r w:rsidR="00457001" w:rsidRPr="008F0D85">
        <w:rPr>
          <w:rFonts w:eastAsia="Times New Roman"/>
          <w:color w:val="44546A" w:themeColor="text2"/>
        </w:rPr>
        <w:t xml:space="preserve"> data on </w:t>
      </w:r>
      <w:r w:rsidR="00535233" w:rsidRPr="008F0D85">
        <w:rPr>
          <w:rFonts w:eastAsia="Times New Roman"/>
          <w:color w:val="44546A" w:themeColor="text2"/>
        </w:rPr>
        <w:t>the</w:t>
      </w:r>
      <w:r w:rsidR="00480EC1" w:rsidRPr="008F0D85">
        <w:rPr>
          <w:rFonts w:eastAsia="Times New Roman"/>
          <w:color w:val="44546A" w:themeColor="text2"/>
        </w:rPr>
        <w:t xml:space="preserve"> total</w:t>
      </w:r>
      <w:r w:rsidR="00535233" w:rsidRPr="008F0D85">
        <w:rPr>
          <w:rFonts w:eastAsia="Times New Roman"/>
          <w:color w:val="44546A" w:themeColor="text2"/>
        </w:rPr>
        <w:t xml:space="preserve"> </w:t>
      </w:r>
      <w:r w:rsidR="00FD201B" w:rsidRPr="008F0D85">
        <w:rPr>
          <w:rFonts w:eastAsia="Times New Roman"/>
          <w:color w:val="44546A" w:themeColor="text2"/>
        </w:rPr>
        <w:t xml:space="preserve">litres of </w:t>
      </w:r>
      <w:r w:rsidR="00535233" w:rsidRPr="008F0D85">
        <w:rPr>
          <w:rFonts w:eastAsia="Times New Roman"/>
          <w:color w:val="44546A" w:themeColor="text2"/>
        </w:rPr>
        <w:t xml:space="preserve">gasoline and diesel </w:t>
      </w:r>
      <w:r w:rsidRPr="008F0D85">
        <w:rPr>
          <w:rFonts w:eastAsia="Times New Roman"/>
          <w:color w:val="44546A" w:themeColor="text2"/>
        </w:rPr>
        <w:t xml:space="preserve">consumed </w:t>
      </w:r>
      <w:r w:rsidR="00457001" w:rsidRPr="008F0D85">
        <w:rPr>
          <w:rFonts w:eastAsia="Times New Roman"/>
          <w:color w:val="44546A" w:themeColor="text2"/>
        </w:rPr>
        <w:t xml:space="preserve">for </w:t>
      </w:r>
      <w:r w:rsidR="00765CB4" w:rsidRPr="008F0D85">
        <w:rPr>
          <w:rFonts w:eastAsia="Times New Roman"/>
          <w:color w:val="44546A" w:themeColor="text2"/>
        </w:rPr>
        <w:t>all</w:t>
      </w:r>
      <w:r w:rsidR="00457001" w:rsidRPr="008F0D85">
        <w:rPr>
          <w:rFonts w:eastAsia="Times New Roman"/>
          <w:color w:val="44546A" w:themeColor="text2"/>
        </w:rPr>
        <w:t xml:space="preserve"> </w:t>
      </w:r>
      <w:r w:rsidR="00030FFF" w:rsidRPr="008F0D85">
        <w:rPr>
          <w:rFonts w:eastAsia="Times New Roman"/>
          <w:color w:val="44546A" w:themeColor="text2"/>
        </w:rPr>
        <w:t>our</w:t>
      </w:r>
      <w:r w:rsidR="00457001" w:rsidRPr="008F0D85">
        <w:rPr>
          <w:rFonts w:eastAsia="Times New Roman"/>
          <w:color w:val="44546A" w:themeColor="text2"/>
        </w:rPr>
        <w:t xml:space="preserve"> </w:t>
      </w:r>
      <w:r w:rsidR="00535233" w:rsidRPr="008F0D85">
        <w:rPr>
          <w:rFonts w:eastAsia="Times New Roman"/>
          <w:color w:val="44546A" w:themeColor="text2"/>
        </w:rPr>
        <w:t>fleet across the opera</w:t>
      </w:r>
      <w:r w:rsidR="00C64E95" w:rsidRPr="008F0D85">
        <w:rPr>
          <w:rFonts w:eastAsia="Times New Roman"/>
          <w:color w:val="44546A" w:themeColor="text2"/>
        </w:rPr>
        <w:t xml:space="preserve">tions for both surface and </w:t>
      </w:r>
      <w:r w:rsidR="0043482B" w:rsidRPr="008F0D85">
        <w:rPr>
          <w:rFonts w:eastAsia="Times New Roman"/>
          <w:color w:val="44546A" w:themeColor="text2"/>
        </w:rPr>
        <w:t>underground (</w:t>
      </w:r>
      <w:r w:rsidR="00C64E95" w:rsidRPr="008F0D85">
        <w:rPr>
          <w:rFonts w:eastAsia="Times New Roman"/>
          <w:color w:val="44546A" w:themeColor="text2"/>
        </w:rPr>
        <w:t>UG</w:t>
      </w:r>
      <w:r w:rsidR="0043482B" w:rsidRPr="008F0D85">
        <w:rPr>
          <w:rFonts w:eastAsia="Times New Roman"/>
          <w:color w:val="44546A" w:themeColor="text2"/>
        </w:rPr>
        <w:t>)</w:t>
      </w:r>
      <w:r w:rsidR="00C64E95" w:rsidRPr="008F0D85">
        <w:rPr>
          <w:rFonts w:eastAsia="Times New Roman"/>
          <w:color w:val="44546A" w:themeColor="text2"/>
        </w:rPr>
        <w:t xml:space="preserve"> </w:t>
      </w:r>
      <w:r w:rsidR="00480EC1" w:rsidRPr="008F0D85">
        <w:rPr>
          <w:rFonts w:eastAsia="Times New Roman"/>
          <w:color w:val="44546A" w:themeColor="text2"/>
        </w:rPr>
        <w:t>vehicles</w:t>
      </w:r>
      <w:r w:rsidR="0041370B" w:rsidRPr="008F0D85">
        <w:rPr>
          <w:rFonts w:eastAsia="Times New Roman"/>
          <w:color w:val="44546A" w:themeColor="text2"/>
        </w:rPr>
        <w:t>,</w:t>
      </w:r>
      <w:r w:rsidR="00480EC1" w:rsidRPr="008F0D85">
        <w:rPr>
          <w:rFonts w:eastAsia="Times New Roman"/>
          <w:color w:val="44546A" w:themeColor="text2"/>
        </w:rPr>
        <w:t xml:space="preserve"> as well as any fuel cards for employees</w:t>
      </w:r>
      <w:r w:rsidR="00FD201B" w:rsidRPr="008F0D85">
        <w:rPr>
          <w:rFonts w:eastAsia="Times New Roman"/>
          <w:color w:val="44546A" w:themeColor="text2"/>
        </w:rPr>
        <w:t xml:space="preserve">. This figure is </w:t>
      </w:r>
      <w:r w:rsidR="0041370B" w:rsidRPr="008F0D85">
        <w:rPr>
          <w:rFonts w:eastAsia="Times New Roman"/>
          <w:color w:val="44546A" w:themeColor="text2"/>
        </w:rPr>
        <w:t xml:space="preserve">then </w:t>
      </w:r>
      <w:r w:rsidR="00FD201B" w:rsidRPr="008F0D85">
        <w:rPr>
          <w:rFonts w:eastAsia="Times New Roman"/>
          <w:color w:val="44546A" w:themeColor="text2"/>
        </w:rPr>
        <w:t xml:space="preserve">converted into </w:t>
      </w:r>
      <w:r w:rsidR="00DB59A4" w:rsidRPr="008F0D85">
        <w:rPr>
          <w:rFonts w:eastAsia="Times New Roman"/>
          <w:color w:val="44546A" w:themeColor="text2"/>
        </w:rPr>
        <w:t>gigajoule</w:t>
      </w:r>
      <w:r w:rsidR="00FD201B" w:rsidRPr="008F0D85">
        <w:rPr>
          <w:rFonts w:eastAsia="Times New Roman"/>
          <w:color w:val="44546A" w:themeColor="text2"/>
        </w:rPr>
        <w:t>s</w:t>
      </w:r>
      <w:r w:rsidR="000457FE" w:rsidRPr="008F0D85">
        <w:rPr>
          <w:rFonts w:eastAsia="Times New Roman"/>
          <w:color w:val="44546A" w:themeColor="text2"/>
        </w:rPr>
        <w:t xml:space="preserve"> (GJ)</w:t>
      </w:r>
      <w:r w:rsidR="00FD201B" w:rsidRPr="008F0D85">
        <w:rPr>
          <w:rFonts w:eastAsia="Times New Roman"/>
          <w:color w:val="44546A" w:themeColor="text2"/>
        </w:rPr>
        <w:t xml:space="preserve"> to </w:t>
      </w:r>
      <w:r w:rsidR="00E43E40" w:rsidRPr="008F0D85">
        <w:rPr>
          <w:rFonts w:eastAsia="Times New Roman"/>
          <w:color w:val="44546A" w:themeColor="text2"/>
        </w:rPr>
        <w:t xml:space="preserve">calculate the total fossil fuel </w:t>
      </w:r>
      <w:r w:rsidR="0041370B" w:rsidRPr="008F0D85">
        <w:rPr>
          <w:rFonts w:eastAsia="Times New Roman"/>
          <w:color w:val="44546A" w:themeColor="text2"/>
        </w:rPr>
        <w:t xml:space="preserve">emissions </w:t>
      </w:r>
      <w:r w:rsidR="00E43E40" w:rsidRPr="008F0D85">
        <w:rPr>
          <w:rFonts w:eastAsia="Times New Roman"/>
          <w:color w:val="44546A" w:themeColor="text2"/>
        </w:rPr>
        <w:t xml:space="preserve">in </w:t>
      </w:r>
      <w:r w:rsidR="00BA6127" w:rsidRPr="008F0D85">
        <w:rPr>
          <w:rFonts w:eastAsia="Times New Roman"/>
          <w:color w:val="44546A" w:themeColor="text2"/>
        </w:rPr>
        <w:t xml:space="preserve">metric tonnes of </w:t>
      </w:r>
      <w:r w:rsidR="000C012A" w:rsidRPr="008F0D85">
        <w:rPr>
          <w:rFonts w:eastAsia="Times New Roman"/>
          <w:color w:val="44546A" w:themeColor="text2"/>
        </w:rPr>
        <w:t xml:space="preserve">carbon dioxide </w:t>
      </w:r>
      <w:r w:rsidR="00EE3E97" w:rsidRPr="008F0D85">
        <w:rPr>
          <w:rFonts w:eastAsia="Times New Roman"/>
          <w:color w:val="44546A" w:themeColor="text2"/>
        </w:rPr>
        <w:t>equivalent (</w:t>
      </w:r>
      <w:r w:rsidR="00BA6127" w:rsidRPr="008F0D85">
        <w:rPr>
          <w:rFonts w:eastAsia="Times New Roman"/>
          <w:color w:val="44546A" w:themeColor="text2"/>
        </w:rPr>
        <w:t>t</w:t>
      </w:r>
      <w:r w:rsidR="00E43E40" w:rsidRPr="008F0D85">
        <w:rPr>
          <w:rFonts w:eastAsia="Times New Roman"/>
          <w:color w:val="44546A" w:themeColor="text2"/>
        </w:rPr>
        <w:t>CO</w:t>
      </w:r>
      <w:r w:rsidR="00E43E40" w:rsidRPr="008F0D85">
        <w:rPr>
          <w:rFonts w:eastAsia="Times New Roman"/>
          <w:color w:val="44546A" w:themeColor="text2"/>
          <w:vertAlign w:val="subscript"/>
        </w:rPr>
        <w:t>2</w:t>
      </w:r>
      <w:r w:rsidR="00AF09C2" w:rsidRPr="008F0D85">
        <w:rPr>
          <w:rFonts w:eastAsia="Times New Roman"/>
          <w:color w:val="44546A" w:themeColor="text2"/>
        </w:rPr>
        <w:t>e</w:t>
      </w:r>
      <w:r w:rsidR="00EE3E97" w:rsidRPr="008F0D85">
        <w:rPr>
          <w:rFonts w:eastAsia="Times New Roman"/>
          <w:color w:val="44546A" w:themeColor="text2"/>
        </w:rPr>
        <w:t>)</w:t>
      </w:r>
      <w:r w:rsidR="000533C6" w:rsidRPr="008F0D85">
        <w:rPr>
          <w:rFonts w:eastAsia="Times New Roman"/>
          <w:color w:val="44546A" w:themeColor="text2"/>
        </w:rPr>
        <w:t>.</w:t>
      </w:r>
    </w:p>
    <w:p w14:paraId="5EBF3078" w14:textId="2016E0A8" w:rsidR="00AD65FD" w:rsidRPr="0095767A" w:rsidRDefault="00D43FF1" w:rsidP="0095767A">
      <w:pPr>
        <w:pStyle w:val="Heading5"/>
      </w:pPr>
      <w:r w:rsidRPr="0095767A">
        <w:t xml:space="preserve">Combustion or detonation of </w:t>
      </w:r>
      <w:r w:rsidR="00ED296C" w:rsidRPr="0095767A">
        <w:t xml:space="preserve">explosive </w:t>
      </w:r>
      <w:r w:rsidRPr="0095767A">
        <w:t>materials</w:t>
      </w:r>
    </w:p>
    <w:p w14:paraId="7B39EEAB" w14:textId="3E2429D4" w:rsidR="00D05417" w:rsidRPr="008F0D85" w:rsidRDefault="00D05417" w:rsidP="00902D44">
      <w:pPr>
        <w:tabs>
          <w:tab w:val="left" w:pos="4820"/>
        </w:tabs>
        <w:jc w:val="both"/>
        <w:rPr>
          <w:rFonts w:eastAsia="Times New Roman"/>
          <w:color w:val="44546A" w:themeColor="text2"/>
        </w:rPr>
      </w:pPr>
      <w:r w:rsidRPr="008F0D85">
        <w:rPr>
          <w:rFonts w:eastAsia="Times New Roman"/>
          <w:color w:val="44546A" w:themeColor="text2"/>
        </w:rPr>
        <w:t xml:space="preserve">The explosives used at Sasa mine are Ammonite explosives which contain </w:t>
      </w:r>
      <w:r w:rsidR="00DB59A4" w:rsidRPr="008F0D85">
        <w:rPr>
          <w:rFonts w:eastAsia="Times New Roman"/>
          <w:color w:val="44546A" w:themeColor="text2"/>
        </w:rPr>
        <w:t>ammonium nitrate</w:t>
      </w:r>
      <w:r w:rsidRPr="008F0D85">
        <w:rPr>
          <w:rFonts w:eastAsia="Times New Roman"/>
          <w:color w:val="44546A" w:themeColor="text2"/>
        </w:rPr>
        <w:t xml:space="preserve">, </w:t>
      </w:r>
      <w:r w:rsidR="00646DA6" w:rsidRPr="008F0D85">
        <w:rPr>
          <w:rFonts w:eastAsia="Times New Roman"/>
          <w:color w:val="44546A" w:themeColor="text2"/>
        </w:rPr>
        <w:t>TNT</w:t>
      </w:r>
      <w:r w:rsidRPr="008F0D85">
        <w:rPr>
          <w:rFonts w:eastAsia="Times New Roman"/>
          <w:color w:val="44546A" w:themeColor="text2"/>
        </w:rPr>
        <w:t xml:space="preserve"> and </w:t>
      </w:r>
      <w:r w:rsidR="00DB59A4" w:rsidRPr="008F0D85">
        <w:rPr>
          <w:rFonts w:eastAsia="Times New Roman"/>
          <w:color w:val="44546A" w:themeColor="text2"/>
        </w:rPr>
        <w:t>diesel</w:t>
      </w:r>
      <w:r w:rsidRPr="008F0D85">
        <w:rPr>
          <w:rFonts w:eastAsia="Times New Roman"/>
          <w:color w:val="44546A" w:themeColor="text2"/>
        </w:rPr>
        <w:t xml:space="preserve"> fuel and the detonators use a base charge of </w:t>
      </w:r>
      <w:r w:rsidR="001C6216" w:rsidRPr="008F0D85">
        <w:rPr>
          <w:rFonts w:eastAsia="Times New Roman"/>
          <w:color w:val="44546A" w:themeColor="text2"/>
        </w:rPr>
        <w:t>Pentaerythritol</w:t>
      </w:r>
      <w:r w:rsidRPr="008F0D85">
        <w:rPr>
          <w:rFonts w:eastAsia="Times New Roman"/>
          <w:color w:val="44546A" w:themeColor="text2"/>
        </w:rPr>
        <w:t xml:space="preserve"> tetra nitrate</w:t>
      </w:r>
      <w:r w:rsidR="00887AEC">
        <w:rPr>
          <w:rFonts w:eastAsia="Times New Roman"/>
          <w:color w:val="44546A" w:themeColor="text2"/>
        </w:rPr>
        <w:t xml:space="preserve"> </w:t>
      </w:r>
      <w:r w:rsidR="00541FBD">
        <w:rPr>
          <w:rFonts w:eastAsia="Times New Roman"/>
          <w:color w:val="44546A" w:themeColor="text2"/>
        </w:rPr>
        <w:t>(</w:t>
      </w:r>
      <w:r w:rsidR="00887AEC" w:rsidRPr="008F0D85">
        <w:rPr>
          <w:rFonts w:eastAsia="Times New Roman"/>
          <w:color w:val="44546A" w:themeColor="text2"/>
        </w:rPr>
        <w:t>PETN</w:t>
      </w:r>
      <w:r w:rsidRPr="008F0D85">
        <w:rPr>
          <w:rFonts w:eastAsia="Times New Roman"/>
          <w:color w:val="44546A" w:themeColor="text2"/>
        </w:rPr>
        <w:t xml:space="preserve">) </w:t>
      </w:r>
      <w:r w:rsidR="00541FBD">
        <w:rPr>
          <w:rFonts w:eastAsia="Times New Roman"/>
          <w:color w:val="44546A" w:themeColor="text2"/>
        </w:rPr>
        <w:t>as well as a</w:t>
      </w:r>
      <w:r w:rsidRPr="008F0D85">
        <w:rPr>
          <w:rFonts w:eastAsia="Times New Roman"/>
          <w:color w:val="44546A" w:themeColor="text2"/>
        </w:rPr>
        <w:t xml:space="preserve"> primary charge.</w:t>
      </w:r>
      <w:r w:rsidR="008B5B89">
        <w:rPr>
          <w:rFonts w:eastAsia="Times New Roman"/>
          <w:color w:val="44546A" w:themeColor="text2"/>
        </w:rPr>
        <w:t xml:space="preserve"> </w:t>
      </w:r>
      <w:r w:rsidRPr="008F0D85">
        <w:rPr>
          <w:rFonts w:eastAsia="Times New Roman"/>
          <w:color w:val="44546A" w:themeColor="text2"/>
        </w:rPr>
        <w:t xml:space="preserve">The total </w:t>
      </w:r>
      <w:r w:rsidR="004805DE" w:rsidRPr="008F0D85">
        <w:rPr>
          <w:rFonts w:eastAsia="Times New Roman"/>
          <w:color w:val="44546A" w:themeColor="text2"/>
        </w:rPr>
        <w:t xml:space="preserve">consumed explosives </w:t>
      </w:r>
      <w:proofErr w:type="gramStart"/>
      <w:r w:rsidR="008524F3" w:rsidRPr="008F0D85">
        <w:rPr>
          <w:rFonts w:eastAsia="Times New Roman"/>
          <w:color w:val="44546A" w:themeColor="text2"/>
        </w:rPr>
        <w:t>is</w:t>
      </w:r>
      <w:proofErr w:type="gramEnd"/>
      <w:r w:rsidRPr="008F0D85">
        <w:rPr>
          <w:rFonts w:eastAsia="Times New Roman"/>
          <w:color w:val="44546A" w:themeColor="text2"/>
        </w:rPr>
        <w:t xml:space="preserve"> converted</w:t>
      </w:r>
      <w:r w:rsidR="008773A9" w:rsidRPr="008F0D85">
        <w:rPr>
          <w:rFonts w:eastAsia="Times New Roman"/>
          <w:color w:val="44546A" w:themeColor="text2"/>
        </w:rPr>
        <w:t xml:space="preserve"> from tonnes</w:t>
      </w:r>
      <w:r w:rsidRPr="008F0D85">
        <w:rPr>
          <w:rFonts w:eastAsia="Times New Roman"/>
          <w:color w:val="44546A" w:themeColor="text2"/>
        </w:rPr>
        <w:t xml:space="preserve"> </w:t>
      </w:r>
      <w:r w:rsidR="002A455E" w:rsidRPr="008F0D85">
        <w:rPr>
          <w:rFonts w:eastAsia="Times New Roman"/>
          <w:color w:val="44546A" w:themeColor="text2"/>
        </w:rPr>
        <w:t>to</w:t>
      </w:r>
      <w:r w:rsidR="000457FE" w:rsidRPr="008F0D85">
        <w:rPr>
          <w:rFonts w:eastAsia="Times New Roman"/>
          <w:color w:val="44546A" w:themeColor="text2"/>
        </w:rPr>
        <w:t xml:space="preserve"> GJ </w:t>
      </w:r>
      <w:r w:rsidR="006C7895" w:rsidRPr="008F0D85">
        <w:rPr>
          <w:rFonts w:eastAsia="Times New Roman"/>
          <w:color w:val="44546A" w:themeColor="text2"/>
        </w:rPr>
        <w:t xml:space="preserve">before </w:t>
      </w:r>
      <w:r w:rsidR="000457FE" w:rsidRPr="008F0D85">
        <w:rPr>
          <w:rFonts w:eastAsia="Times New Roman"/>
          <w:color w:val="44546A" w:themeColor="text2"/>
        </w:rPr>
        <w:t>calculat</w:t>
      </w:r>
      <w:r w:rsidR="006C7895" w:rsidRPr="008F0D85">
        <w:rPr>
          <w:rFonts w:eastAsia="Times New Roman"/>
          <w:color w:val="44546A" w:themeColor="text2"/>
        </w:rPr>
        <w:t>ing</w:t>
      </w:r>
      <w:r w:rsidR="000457FE" w:rsidRPr="008F0D85">
        <w:rPr>
          <w:rFonts w:eastAsia="Times New Roman"/>
          <w:color w:val="44546A" w:themeColor="text2"/>
        </w:rPr>
        <w:t xml:space="preserve"> the</w:t>
      </w:r>
      <w:r w:rsidRPr="008F0D85">
        <w:rPr>
          <w:rFonts w:eastAsia="Times New Roman"/>
          <w:color w:val="44546A" w:themeColor="text2"/>
        </w:rPr>
        <w:t xml:space="preserve"> </w:t>
      </w:r>
      <w:r w:rsidR="008524F3" w:rsidRPr="008F0D85">
        <w:rPr>
          <w:rFonts w:eastAsia="Times New Roman"/>
          <w:color w:val="44546A" w:themeColor="text2"/>
        </w:rPr>
        <w:t xml:space="preserve">associated </w:t>
      </w:r>
      <w:r w:rsidR="000551B7" w:rsidRPr="008F0D85">
        <w:rPr>
          <w:rFonts w:eastAsia="Times New Roman"/>
          <w:color w:val="44546A" w:themeColor="text2"/>
        </w:rPr>
        <w:t xml:space="preserve">emissions in </w:t>
      </w:r>
      <w:r w:rsidR="00BA6127" w:rsidRPr="008F0D85">
        <w:rPr>
          <w:rFonts w:eastAsia="Times New Roman"/>
          <w:color w:val="44546A" w:themeColor="text2"/>
        </w:rPr>
        <w:t>tCO</w:t>
      </w:r>
      <w:r w:rsidR="00BA6127" w:rsidRPr="008F0D85">
        <w:rPr>
          <w:rFonts w:eastAsia="Times New Roman"/>
          <w:color w:val="44546A" w:themeColor="text2"/>
          <w:vertAlign w:val="subscript"/>
        </w:rPr>
        <w:t>2</w:t>
      </w:r>
      <w:r w:rsidR="00BA6127" w:rsidRPr="008F0D85">
        <w:rPr>
          <w:rFonts w:eastAsia="Times New Roman"/>
          <w:color w:val="44546A" w:themeColor="text2"/>
        </w:rPr>
        <w:t>e</w:t>
      </w:r>
      <w:r w:rsidRPr="008F0D85">
        <w:rPr>
          <w:rFonts w:eastAsia="Times New Roman"/>
          <w:color w:val="44546A" w:themeColor="text2"/>
        </w:rPr>
        <w:t xml:space="preserve">. </w:t>
      </w:r>
    </w:p>
    <w:p w14:paraId="0427E8B6" w14:textId="5DB35C3E" w:rsidR="006E5CC9" w:rsidRPr="0095767A" w:rsidRDefault="006E5CC9" w:rsidP="0095767A">
      <w:pPr>
        <w:pStyle w:val="Heading5"/>
      </w:pPr>
      <w:r w:rsidRPr="0095767A">
        <w:t>Combustion of fossil fuels for energy</w:t>
      </w:r>
      <w:r w:rsidR="00AF1167" w:rsidRPr="0095767A">
        <w:t xml:space="preserve"> </w:t>
      </w:r>
    </w:p>
    <w:p w14:paraId="7D78A76F" w14:textId="5F922F7F" w:rsidR="002B5F2C" w:rsidRPr="00D16A3F" w:rsidRDefault="00835EA7" w:rsidP="00D16A3F">
      <w:pPr>
        <w:tabs>
          <w:tab w:val="left" w:pos="4820"/>
        </w:tabs>
        <w:jc w:val="both"/>
        <w:rPr>
          <w:b/>
          <w:bCs/>
          <w:color w:val="44546A" w:themeColor="text2"/>
          <w:u w:val="single"/>
        </w:rPr>
      </w:pPr>
      <w:r w:rsidRPr="008F0D85">
        <w:rPr>
          <w:rFonts w:eastAsia="Times New Roman"/>
          <w:color w:val="44546A" w:themeColor="text2"/>
        </w:rPr>
        <w:t xml:space="preserve">The total tonnes of coal used at the boiler house in Kounrad is </w:t>
      </w:r>
      <w:r w:rsidR="007D482C" w:rsidRPr="008F0D85">
        <w:rPr>
          <w:rFonts w:eastAsia="Times New Roman"/>
          <w:color w:val="44546A" w:themeColor="text2"/>
        </w:rPr>
        <w:t xml:space="preserve">recorded based on </w:t>
      </w:r>
      <w:r w:rsidR="00770166" w:rsidRPr="008F0D85">
        <w:rPr>
          <w:rFonts w:eastAsia="Times New Roman"/>
          <w:color w:val="44546A" w:themeColor="text2"/>
        </w:rPr>
        <w:t>volume of loading into boilers</w:t>
      </w:r>
      <w:r w:rsidR="00E56ED3" w:rsidRPr="008F0D85">
        <w:rPr>
          <w:rFonts w:eastAsia="Times New Roman"/>
          <w:color w:val="44546A" w:themeColor="text2"/>
        </w:rPr>
        <w:t>. Th</w:t>
      </w:r>
      <w:r w:rsidR="00743C16" w:rsidRPr="008F0D85">
        <w:rPr>
          <w:rFonts w:eastAsia="Times New Roman"/>
          <w:color w:val="44546A" w:themeColor="text2"/>
        </w:rPr>
        <w:t>e</w:t>
      </w:r>
      <w:r w:rsidR="00E56ED3" w:rsidRPr="008F0D85">
        <w:rPr>
          <w:rFonts w:eastAsia="Times New Roman"/>
          <w:color w:val="44546A" w:themeColor="text2"/>
        </w:rPr>
        <w:t xml:space="preserve"> </w:t>
      </w:r>
      <w:r w:rsidR="003B08C1" w:rsidRPr="008F0D85">
        <w:rPr>
          <w:rFonts w:eastAsia="Times New Roman"/>
          <w:color w:val="44546A" w:themeColor="text2"/>
        </w:rPr>
        <w:t xml:space="preserve">recorded value </w:t>
      </w:r>
      <w:r w:rsidR="00E56ED3" w:rsidRPr="008F0D85">
        <w:rPr>
          <w:rFonts w:eastAsia="Times New Roman"/>
          <w:color w:val="44546A" w:themeColor="text2"/>
        </w:rPr>
        <w:t xml:space="preserve">is </w:t>
      </w:r>
      <w:r w:rsidR="003B08C1" w:rsidRPr="008F0D85">
        <w:rPr>
          <w:rFonts w:eastAsia="Times New Roman"/>
          <w:color w:val="44546A" w:themeColor="text2"/>
        </w:rPr>
        <w:t>converted to GJ</w:t>
      </w:r>
      <w:r w:rsidR="00E56ED3" w:rsidRPr="008F0D85">
        <w:rPr>
          <w:rFonts w:eastAsia="Times New Roman"/>
          <w:color w:val="44546A" w:themeColor="text2"/>
        </w:rPr>
        <w:t xml:space="preserve"> </w:t>
      </w:r>
      <w:r w:rsidR="00CA1D30" w:rsidRPr="008F0D85">
        <w:rPr>
          <w:rFonts w:eastAsia="Times New Roman"/>
          <w:color w:val="44546A" w:themeColor="text2"/>
        </w:rPr>
        <w:t>before</w:t>
      </w:r>
      <w:r w:rsidR="00E56ED3" w:rsidRPr="008F0D85">
        <w:rPr>
          <w:rFonts w:eastAsia="Times New Roman"/>
          <w:color w:val="44546A" w:themeColor="text2"/>
        </w:rPr>
        <w:t xml:space="preserve"> </w:t>
      </w:r>
      <w:r w:rsidR="00CA1D30" w:rsidRPr="008F0D85">
        <w:rPr>
          <w:rFonts w:eastAsia="Times New Roman"/>
          <w:color w:val="44546A" w:themeColor="text2"/>
        </w:rPr>
        <w:t xml:space="preserve">being used in </w:t>
      </w:r>
      <w:r w:rsidR="00BC2946" w:rsidRPr="008F0D85">
        <w:rPr>
          <w:rFonts w:eastAsia="Times New Roman"/>
          <w:color w:val="44546A" w:themeColor="text2"/>
        </w:rPr>
        <w:t xml:space="preserve">emission </w:t>
      </w:r>
      <w:r w:rsidR="00A561B6" w:rsidRPr="008F0D85">
        <w:rPr>
          <w:rFonts w:eastAsia="Times New Roman"/>
          <w:color w:val="44546A" w:themeColor="text2"/>
        </w:rPr>
        <w:t>tCO</w:t>
      </w:r>
      <w:r w:rsidR="00A561B6" w:rsidRPr="008F0D85">
        <w:rPr>
          <w:rFonts w:eastAsia="Times New Roman"/>
          <w:color w:val="44546A" w:themeColor="text2"/>
          <w:vertAlign w:val="subscript"/>
        </w:rPr>
        <w:t>2</w:t>
      </w:r>
      <w:r w:rsidR="00A561B6" w:rsidRPr="008F0D85">
        <w:rPr>
          <w:rFonts w:eastAsia="Times New Roman"/>
          <w:color w:val="44546A" w:themeColor="text2"/>
        </w:rPr>
        <w:t>e</w:t>
      </w:r>
      <w:r w:rsidR="00BC2946" w:rsidRPr="008F0D85">
        <w:rPr>
          <w:rFonts w:eastAsia="Times New Roman"/>
          <w:color w:val="44546A" w:themeColor="text2"/>
        </w:rPr>
        <w:t xml:space="preserve"> calculations</w:t>
      </w:r>
      <w:r w:rsidR="00B75AA2" w:rsidRPr="008F0D85">
        <w:rPr>
          <w:rFonts w:eastAsia="Times New Roman"/>
          <w:color w:val="44546A" w:themeColor="text2"/>
        </w:rPr>
        <w:t>.</w:t>
      </w:r>
      <w:r w:rsidR="006F229B">
        <w:rPr>
          <w:rFonts w:eastAsia="Times New Roman"/>
          <w:color w:val="44546A" w:themeColor="text2"/>
        </w:rPr>
        <w:t xml:space="preserve"> In addition, the Sasa site has the diesel generator for the emergency </w:t>
      </w:r>
      <w:r w:rsidR="002F0804">
        <w:rPr>
          <w:rFonts w:eastAsia="Times New Roman"/>
          <w:color w:val="44546A" w:themeColor="text2"/>
        </w:rPr>
        <w:t>electricity</w:t>
      </w:r>
      <w:r w:rsidR="006F229B">
        <w:rPr>
          <w:rFonts w:eastAsia="Times New Roman"/>
          <w:color w:val="44546A" w:themeColor="text2"/>
        </w:rPr>
        <w:t xml:space="preserve"> supply</w:t>
      </w:r>
      <w:r w:rsidR="002F0804">
        <w:rPr>
          <w:rFonts w:eastAsia="Times New Roman"/>
          <w:color w:val="44546A" w:themeColor="text2"/>
        </w:rPr>
        <w:t xml:space="preserve">, which can contribute to the </w:t>
      </w:r>
      <w:r w:rsidR="0099137D">
        <w:rPr>
          <w:rFonts w:eastAsia="Times New Roman"/>
          <w:color w:val="44546A" w:themeColor="text2"/>
        </w:rPr>
        <w:t>fuel</w:t>
      </w:r>
      <w:r w:rsidR="00142995">
        <w:rPr>
          <w:rFonts w:eastAsia="Times New Roman"/>
          <w:color w:val="44546A" w:themeColor="text2"/>
        </w:rPr>
        <w:t xml:space="preserve"> usage</w:t>
      </w:r>
      <w:r w:rsidR="002F0804">
        <w:rPr>
          <w:rFonts w:eastAsia="Times New Roman"/>
          <w:color w:val="44546A" w:themeColor="text2"/>
        </w:rPr>
        <w:t xml:space="preserve">. </w:t>
      </w:r>
    </w:p>
    <w:p w14:paraId="22743642" w14:textId="5EDDC919" w:rsidR="00214492" w:rsidRPr="0095767A" w:rsidRDefault="00DA6CBE" w:rsidP="0095767A">
      <w:pPr>
        <w:pStyle w:val="Heading5"/>
      </w:pPr>
      <w:r w:rsidRPr="0095767A">
        <w:t xml:space="preserve">Fugitive </w:t>
      </w:r>
      <w:r w:rsidR="00ED296C" w:rsidRPr="0095767A">
        <w:t>emissions</w:t>
      </w:r>
    </w:p>
    <w:p w14:paraId="4458E0C7" w14:textId="1629617A" w:rsidR="00CD1140" w:rsidRDefault="00CD1140" w:rsidP="00B75AA2">
      <w:pPr>
        <w:tabs>
          <w:tab w:val="left" w:pos="4820"/>
        </w:tabs>
        <w:jc w:val="both"/>
        <w:rPr>
          <w:rFonts w:eastAsia="Times New Roman"/>
          <w:color w:val="44546A" w:themeColor="text2"/>
        </w:rPr>
      </w:pPr>
      <w:r w:rsidRPr="008F0D85">
        <w:rPr>
          <w:rFonts w:eastAsia="Times New Roman"/>
          <w:color w:val="44546A" w:themeColor="text2"/>
        </w:rPr>
        <w:t xml:space="preserve">The </w:t>
      </w:r>
      <w:r w:rsidR="00E96DE1" w:rsidRPr="008F0D85">
        <w:rPr>
          <w:rFonts w:eastAsia="Times New Roman"/>
          <w:color w:val="44546A" w:themeColor="text2"/>
        </w:rPr>
        <w:t xml:space="preserve">leakage rate of the type of </w:t>
      </w:r>
      <w:r w:rsidR="00A007FD" w:rsidRPr="008F0D85">
        <w:rPr>
          <w:rFonts w:eastAsia="Times New Roman"/>
          <w:color w:val="44546A" w:themeColor="text2"/>
        </w:rPr>
        <w:t>refrigerator</w:t>
      </w:r>
      <w:r w:rsidR="00B923BB" w:rsidRPr="008F0D85">
        <w:rPr>
          <w:rFonts w:eastAsia="Times New Roman"/>
          <w:color w:val="44546A" w:themeColor="text2"/>
        </w:rPr>
        <w:t>,</w:t>
      </w:r>
      <w:r w:rsidR="00A007FD" w:rsidRPr="008F0D85">
        <w:rPr>
          <w:rFonts w:eastAsia="Times New Roman"/>
          <w:color w:val="44546A" w:themeColor="text2"/>
        </w:rPr>
        <w:t xml:space="preserve"> </w:t>
      </w:r>
      <w:r w:rsidR="00580B1A" w:rsidRPr="008F0D85">
        <w:rPr>
          <w:rFonts w:eastAsia="Times New Roman"/>
          <w:color w:val="44546A" w:themeColor="text2"/>
        </w:rPr>
        <w:t xml:space="preserve">based on the refrigerant </w:t>
      </w:r>
      <w:r w:rsidR="00622A25" w:rsidRPr="008F0D85">
        <w:rPr>
          <w:rFonts w:eastAsia="Times New Roman"/>
          <w:color w:val="44546A" w:themeColor="text2"/>
        </w:rPr>
        <w:t>units we have</w:t>
      </w:r>
      <w:r w:rsidR="00B923BB" w:rsidRPr="008F0D85">
        <w:rPr>
          <w:rFonts w:eastAsia="Times New Roman"/>
          <w:color w:val="44546A" w:themeColor="text2"/>
        </w:rPr>
        <w:t>,</w:t>
      </w:r>
      <w:r w:rsidR="00622A25" w:rsidRPr="008F0D85">
        <w:rPr>
          <w:rFonts w:eastAsia="Times New Roman"/>
          <w:color w:val="44546A" w:themeColor="text2"/>
        </w:rPr>
        <w:t xml:space="preserve"> </w:t>
      </w:r>
      <w:r w:rsidR="00710DB2" w:rsidRPr="008F0D85">
        <w:rPr>
          <w:rFonts w:eastAsia="Times New Roman"/>
          <w:color w:val="44546A" w:themeColor="text2"/>
        </w:rPr>
        <w:t>inc</w:t>
      </w:r>
      <w:r w:rsidR="007A3FF3" w:rsidRPr="008F0D85">
        <w:rPr>
          <w:rFonts w:eastAsia="Times New Roman"/>
          <w:color w:val="44546A" w:themeColor="text2"/>
        </w:rPr>
        <w:t>orporates</w:t>
      </w:r>
      <w:r w:rsidR="00622A25" w:rsidRPr="008F0D85">
        <w:rPr>
          <w:rFonts w:eastAsia="Times New Roman"/>
          <w:color w:val="44546A" w:themeColor="text2"/>
        </w:rPr>
        <w:t xml:space="preserve"> a conversion factor to calculate the </w:t>
      </w:r>
      <w:r w:rsidR="007A3FF3" w:rsidRPr="008F0D85">
        <w:rPr>
          <w:color w:val="44546A" w:themeColor="text2"/>
        </w:rPr>
        <w:t>CO</w:t>
      </w:r>
      <w:r w:rsidR="007A3FF3" w:rsidRPr="008F0D85">
        <w:rPr>
          <w:color w:val="44546A" w:themeColor="text2"/>
          <w:vertAlign w:val="subscript"/>
        </w:rPr>
        <w:t xml:space="preserve">2 </w:t>
      </w:r>
      <w:r w:rsidR="007A3FF3" w:rsidRPr="008F0D85">
        <w:rPr>
          <w:color w:val="44546A" w:themeColor="text2"/>
        </w:rPr>
        <w:t>emissions</w:t>
      </w:r>
      <w:r w:rsidR="00202F3D" w:rsidRPr="008F0D85">
        <w:rPr>
          <w:color w:val="44546A" w:themeColor="text2"/>
        </w:rPr>
        <w:t xml:space="preserve"> </w:t>
      </w:r>
      <w:r w:rsidR="00202F3D" w:rsidRPr="008F0D85">
        <w:rPr>
          <w:rFonts w:eastAsia="Times New Roman"/>
          <w:color w:val="44546A" w:themeColor="text2"/>
        </w:rPr>
        <w:t>(tCO</w:t>
      </w:r>
      <w:r w:rsidR="00202F3D" w:rsidRPr="008F0D85">
        <w:rPr>
          <w:rFonts w:eastAsia="Times New Roman"/>
          <w:color w:val="44546A" w:themeColor="text2"/>
          <w:vertAlign w:val="subscript"/>
        </w:rPr>
        <w:t>2</w:t>
      </w:r>
      <w:r w:rsidR="00202F3D" w:rsidRPr="008F0D85">
        <w:rPr>
          <w:rFonts w:eastAsia="Times New Roman"/>
          <w:color w:val="44546A" w:themeColor="text2"/>
        </w:rPr>
        <w:t>e)</w:t>
      </w:r>
      <w:r w:rsidR="00B75AA2" w:rsidRPr="008F0D85">
        <w:rPr>
          <w:rFonts w:eastAsia="Times New Roman"/>
          <w:color w:val="44546A" w:themeColor="text2"/>
        </w:rPr>
        <w:t>.</w:t>
      </w:r>
    </w:p>
    <w:p w14:paraId="3102FB17" w14:textId="5B09B4FD" w:rsidR="00367FA2" w:rsidRPr="00367FA2" w:rsidRDefault="00367FA2" w:rsidP="00367FA2">
      <w:pPr>
        <w:pStyle w:val="Heading5"/>
      </w:pPr>
      <w:r w:rsidRPr="00367FA2">
        <w:lastRenderedPageBreak/>
        <w:t>Others</w:t>
      </w:r>
    </w:p>
    <w:p w14:paraId="4FE05931" w14:textId="20617B8D" w:rsidR="00383416" w:rsidRDefault="004500BB" w:rsidP="47818EDB">
      <w:pPr>
        <w:tabs>
          <w:tab w:val="left" w:pos="4820"/>
        </w:tabs>
        <w:jc w:val="both"/>
        <w:rPr>
          <w:rFonts w:eastAsia="Times New Roman"/>
          <w:b/>
          <w:bCs/>
          <w:color w:val="44546A" w:themeColor="text2"/>
        </w:rPr>
      </w:pPr>
      <w:r>
        <w:rPr>
          <w:rFonts w:eastAsia="Times New Roman"/>
          <w:color w:val="44546A" w:themeColor="text2"/>
        </w:rPr>
        <w:t xml:space="preserve">Water treatment plant, immaterial amounts </w:t>
      </w:r>
      <w:r w:rsidR="00367FA2">
        <w:rPr>
          <w:rFonts w:eastAsia="Times New Roman"/>
          <w:color w:val="44546A" w:themeColor="text2"/>
        </w:rPr>
        <w:t>of propane in the laboratory</w:t>
      </w:r>
      <w:r w:rsidR="00A32DD0">
        <w:rPr>
          <w:rFonts w:eastAsia="Times New Roman"/>
          <w:color w:val="44546A" w:themeColor="text2"/>
        </w:rPr>
        <w:t>,</w:t>
      </w:r>
      <w:r w:rsidR="00367FA2">
        <w:rPr>
          <w:rFonts w:eastAsia="Times New Roman"/>
          <w:color w:val="44546A" w:themeColor="text2"/>
        </w:rPr>
        <w:t xml:space="preserve"> limestone</w:t>
      </w:r>
      <w:r w:rsidR="003E06C1">
        <w:rPr>
          <w:rFonts w:eastAsia="Times New Roman"/>
          <w:color w:val="44546A" w:themeColor="text2"/>
        </w:rPr>
        <w:t xml:space="preserve"> use </w:t>
      </w:r>
      <w:r w:rsidR="00367FA2">
        <w:rPr>
          <w:rFonts w:eastAsia="Times New Roman"/>
          <w:color w:val="44546A" w:themeColor="text2"/>
        </w:rPr>
        <w:t>around the dumps</w:t>
      </w:r>
      <w:r w:rsidR="00782704">
        <w:rPr>
          <w:rFonts w:eastAsia="Times New Roman"/>
          <w:color w:val="44546A" w:themeColor="text2"/>
        </w:rPr>
        <w:t>.</w:t>
      </w:r>
    </w:p>
    <w:p w14:paraId="42C025C8" w14:textId="7020ADD8" w:rsidR="008856FF" w:rsidRPr="0063032C" w:rsidRDefault="0059014A" w:rsidP="0063032C">
      <w:pPr>
        <w:rPr>
          <w:rFonts w:eastAsia="Times New Roman"/>
          <w:color w:val="44546A" w:themeColor="text2"/>
          <w:szCs w:val="24"/>
        </w:rPr>
      </w:pPr>
      <w:r w:rsidRPr="0063032C">
        <w:rPr>
          <w:rFonts w:eastAsia="Times New Roman"/>
          <w:b/>
          <w:color w:val="44546A" w:themeColor="text2"/>
          <w:sz w:val="24"/>
          <w:szCs w:val="24"/>
        </w:rPr>
        <w:t xml:space="preserve">Table </w:t>
      </w:r>
      <w:r w:rsidR="00B84784">
        <w:rPr>
          <w:rFonts w:eastAsia="Times New Roman"/>
          <w:b/>
          <w:bCs/>
          <w:color w:val="44546A" w:themeColor="text2"/>
          <w:sz w:val="24"/>
          <w:szCs w:val="24"/>
        </w:rPr>
        <w:t>1</w:t>
      </w:r>
      <w:r w:rsidRPr="0063032C">
        <w:rPr>
          <w:rFonts w:eastAsia="Times New Roman"/>
          <w:b/>
          <w:color w:val="44546A" w:themeColor="text2"/>
          <w:sz w:val="24"/>
          <w:szCs w:val="24"/>
        </w:rPr>
        <w:t xml:space="preserve"> – </w:t>
      </w:r>
      <w:r w:rsidR="00B84784">
        <w:rPr>
          <w:rFonts w:eastAsia="Times New Roman"/>
          <w:b/>
          <w:bCs/>
          <w:color w:val="44546A" w:themeColor="text2"/>
          <w:sz w:val="24"/>
          <w:szCs w:val="24"/>
        </w:rPr>
        <w:t xml:space="preserve">CAML’s </w:t>
      </w:r>
      <w:r w:rsidRPr="0063032C">
        <w:rPr>
          <w:rFonts w:eastAsia="Times New Roman"/>
          <w:b/>
          <w:color w:val="44546A" w:themeColor="text2"/>
          <w:sz w:val="24"/>
          <w:szCs w:val="24"/>
        </w:rPr>
        <w:t xml:space="preserve">Scope 1 </w:t>
      </w:r>
      <w:r w:rsidR="00B84784">
        <w:rPr>
          <w:rFonts w:eastAsia="Times New Roman"/>
          <w:b/>
          <w:bCs/>
          <w:color w:val="44546A" w:themeColor="text2"/>
          <w:sz w:val="24"/>
          <w:szCs w:val="24"/>
        </w:rPr>
        <w:t>E</w:t>
      </w:r>
      <w:r w:rsidR="008856FF" w:rsidRPr="0063032C">
        <w:rPr>
          <w:rFonts w:eastAsia="Times New Roman"/>
          <w:b/>
          <w:bCs/>
          <w:color w:val="44546A" w:themeColor="text2"/>
          <w:sz w:val="24"/>
          <w:szCs w:val="24"/>
        </w:rPr>
        <w:t>missions</w:t>
      </w:r>
      <w:r w:rsidR="00DE225F">
        <w:rPr>
          <w:rStyle w:val="FootnoteReference"/>
          <w:rFonts w:eastAsia="Times New Roman"/>
          <w:b/>
          <w:bCs/>
          <w:color w:val="44546A" w:themeColor="text2"/>
          <w:sz w:val="24"/>
          <w:szCs w:val="24"/>
        </w:rPr>
        <w:footnoteReference w:id="2"/>
      </w:r>
    </w:p>
    <w:tbl>
      <w:tblPr>
        <w:tblW w:w="5453" w:type="pct"/>
        <w:jc w:val="center"/>
        <w:tblLook w:val="04A0" w:firstRow="1" w:lastRow="0" w:firstColumn="1" w:lastColumn="0" w:noHBand="0" w:noVBand="1"/>
      </w:tblPr>
      <w:tblGrid>
        <w:gridCol w:w="1516"/>
        <w:gridCol w:w="1000"/>
        <w:gridCol w:w="1000"/>
        <w:gridCol w:w="1000"/>
        <w:gridCol w:w="858"/>
        <w:gridCol w:w="858"/>
        <w:gridCol w:w="858"/>
        <w:gridCol w:w="1000"/>
        <w:gridCol w:w="1000"/>
        <w:gridCol w:w="1000"/>
      </w:tblGrid>
      <w:tr w:rsidR="00A2661B" w:rsidRPr="00B978AA" w14:paraId="472215C2" w14:textId="77777777" w:rsidTr="00661050">
        <w:trPr>
          <w:trHeight w:val="230"/>
          <w:jc w:val="center"/>
        </w:trPr>
        <w:tc>
          <w:tcPr>
            <w:tcW w:w="751" w:type="pct"/>
            <w:vMerge w:val="restart"/>
            <w:tcBorders>
              <w:top w:val="single" w:sz="4" w:space="0" w:color="auto"/>
              <w:left w:val="single" w:sz="4" w:space="0" w:color="auto"/>
              <w:right w:val="single" w:sz="4" w:space="0" w:color="auto"/>
            </w:tcBorders>
            <w:shd w:val="clear" w:color="000000" w:fill="3E5C60"/>
            <w:vAlign w:val="center"/>
            <w:hideMark/>
          </w:tcPr>
          <w:p w14:paraId="163B7B54" w14:textId="77777777" w:rsidR="00BE63C3" w:rsidRPr="0063032C" w:rsidRDefault="00BE63C3" w:rsidP="005F6316">
            <w:pPr>
              <w:spacing w:after="0" w:line="240" w:lineRule="auto"/>
              <w:jc w:val="both"/>
              <w:rPr>
                <w:rFonts w:eastAsia="Times New Roman" w:cs="Times New Roman"/>
                <w:b/>
                <w:bCs/>
                <w:color w:val="FFFFFF"/>
                <w:kern w:val="0"/>
                <w:sz w:val="20"/>
                <w:szCs w:val="20"/>
                <w:lang w:eastAsia="en-GB"/>
                <w14:ligatures w14:val="none"/>
              </w:rPr>
            </w:pPr>
            <w:r w:rsidRPr="0063032C">
              <w:rPr>
                <w:rFonts w:eastAsia="Times New Roman" w:cs="Times New Roman"/>
                <w:b/>
                <w:bCs/>
                <w:color w:val="FFFFFF" w:themeColor="background1"/>
                <w:kern w:val="0"/>
                <w:sz w:val="20"/>
                <w:szCs w:val="20"/>
                <w:lang w:eastAsia="en-GB"/>
                <w14:ligatures w14:val="none"/>
              </w:rPr>
              <w:t> </w:t>
            </w:r>
          </w:p>
          <w:p w14:paraId="02F6F0AE" w14:textId="77777777" w:rsidR="00BE63C3" w:rsidRPr="0063032C" w:rsidRDefault="00BE63C3" w:rsidP="005F6316">
            <w:pPr>
              <w:spacing w:after="0" w:line="240" w:lineRule="auto"/>
              <w:jc w:val="both"/>
              <w:rPr>
                <w:rFonts w:eastAsia="Times New Roman" w:cs="Times New Roman"/>
                <w:color w:val="FFFFFF"/>
                <w:kern w:val="0"/>
                <w:sz w:val="20"/>
                <w:szCs w:val="20"/>
                <w:lang w:eastAsia="en-GB"/>
                <w14:ligatures w14:val="none"/>
              </w:rPr>
            </w:pPr>
            <w:r w:rsidRPr="0063032C">
              <w:rPr>
                <w:rFonts w:eastAsia="Times New Roman" w:cs="Times New Roman"/>
                <w:color w:val="FFFFFF" w:themeColor="background1"/>
                <w:kern w:val="0"/>
                <w:sz w:val="20"/>
                <w:szCs w:val="20"/>
                <w:lang w:eastAsia="en-GB"/>
                <w14:ligatures w14:val="none"/>
              </w:rPr>
              <w:t> </w:t>
            </w:r>
          </w:p>
          <w:p w14:paraId="0B40ED86" w14:textId="567BF3CD" w:rsidR="005F6316" w:rsidRPr="0063032C" w:rsidRDefault="005F6316" w:rsidP="005F6316">
            <w:pPr>
              <w:spacing w:after="0" w:line="240" w:lineRule="auto"/>
              <w:jc w:val="both"/>
              <w:rPr>
                <w:rFonts w:eastAsia="Times New Roman" w:cs="Times New Roman"/>
                <w:b/>
                <w:color w:val="FFFFFF"/>
                <w:kern w:val="0"/>
                <w:sz w:val="20"/>
                <w:szCs w:val="20"/>
                <w:lang w:eastAsia="en-GB"/>
                <w14:ligatures w14:val="none"/>
              </w:rPr>
            </w:pPr>
            <w:r w:rsidRPr="0063032C">
              <w:rPr>
                <w:rFonts w:eastAsia="Times New Roman" w:cs="Times New Roman"/>
                <w:color w:val="FFFFFF" w:themeColor="background1"/>
                <w:kern w:val="0"/>
                <w:sz w:val="20"/>
                <w:szCs w:val="20"/>
                <w:lang w:eastAsia="en-GB"/>
                <w14:ligatures w14:val="none"/>
              </w:rPr>
              <w:t> </w:t>
            </w:r>
          </w:p>
        </w:tc>
        <w:tc>
          <w:tcPr>
            <w:tcW w:w="1487" w:type="pct"/>
            <w:gridSpan w:val="3"/>
            <w:tcBorders>
              <w:top w:val="single" w:sz="4" w:space="0" w:color="auto"/>
              <w:left w:val="nil"/>
              <w:bottom w:val="single" w:sz="4" w:space="0" w:color="auto"/>
              <w:right w:val="single" w:sz="4" w:space="0" w:color="000000"/>
            </w:tcBorders>
            <w:shd w:val="clear" w:color="000000" w:fill="3E5C60"/>
            <w:vAlign w:val="center"/>
            <w:hideMark/>
          </w:tcPr>
          <w:p w14:paraId="54E4D444"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Kounrad</w:t>
            </w:r>
          </w:p>
        </w:tc>
        <w:tc>
          <w:tcPr>
            <w:tcW w:w="1275" w:type="pct"/>
            <w:gridSpan w:val="3"/>
            <w:tcBorders>
              <w:top w:val="single" w:sz="4" w:space="0" w:color="auto"/>
              <w:left w:val="nil"/>
              <w:bottom w:val="single" w:sz="4" w:space="0" w:color="auto"/>
              <w:right w:val="single" w:sz="4" w:space="0" w:color="000000"/>
            </w:tcBorders>
            <w:shd w:val="clear" w:color="000000" w:fill="3E5C60"/>
            <w:vAlign w:val="center"/>
            <w:hideMark/>
          </w:tcPr>
          <w:p w14:paraId="69B02372"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kern w:val="0"/>
                <w:sz w:val="20"/>
                <w:szCs w:val="20"/>
                <w:lang w:eastAsia="en-GB"/>
                <w14:ligatures w14:val="none"/>
              </w:rPr>
              <w:t>Sasa</w:t>
            </w:r>
          </w:p>
        </w:tc>
        <w:tc>
          <w:tcPr>
            <w:tcW w:w="1487" w:type="pct"/>
            <w:gridSpan w:val="3"/>
            <w:tcBorders>
              <w:top w:val="single" w:sz="4" w:space="0" w:color="auto"/>
              <w:left w:val="nil"/>
              <w:bottom w:val="single" w:sz="4" w:space="0" w:color="auto"/>
              <w:right w:val="single" w:sz="4" w:space="0" w:color="000000"/>
            </w:tcBorders>
            <w:shd w:val="clear" w:color="000000" w:fill="3E5C60"/>
            <w:vAlign w:val="center"/>
            <w:hideMark/>
          </w:tcPr>
          <w:p w14:paraId="254CB817"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Total</w:t>
            </w:r>
          </w:p>
        </w:tc>
      </w:tr>
      <w:tr w:rsidR="00E508B9" w:rsidRPr="00B978AA" w14:paraId="5C689AA4" w14:textId="77777777" w:rsidTr="00661050">
        <w:trPr>
          <w:trHeight w:val="230"/>
          <w:jc w:val="center"/>
        </w:trPr>
        <w:tc>
          <w:tcPr>
            <w:tcW w:w="751" w:type="pct"/>
            <w:vMerge/>
            <w:tcBorders>
              <w:left w:val="single" w:sz="4" w:space="0" w:color="auto"/>
              <w:right w:val="single" w:sz="4" w:space="0" w:color="auto"/>
            </w:tcBorders>
            <w:shd w:val="clear" w:color="000000" w:fill="3E5C60"/>
            <w:vAlign w:val="center"/>
            <w:hideMark/>
          </w:tcPr>
          <w:p w14:paraId="0AB684E4" w14:textId="3ECB8F3E" w:rsidR="005F6316" w:rsidRPr="0063032C" w:rsidRDefault="005F6316" w:rsidP="005F6316">
            <w:pPr>
              <w:spacing w:after="0" w:line="240" w:lineRule="auto"/>
              <w:jc w:val="both"/>
              <w:rPr>
                <w:rFonts w:eastAsia="Times New Roman" w:cs="Times New Roman"/>
                <w:color w:val="FFFFFF"/>
                <w:kern w:val="0"/>
                <w:sz w:val="20"/>
                <w:szCs w:val="20"/>
                <w:lang w:eastAsia="en-GB"/>
                <w14:ligatures w14:val="none"/>
              </w:rPr>
            </w:pPr>
          </w:p>
        </w:tc>
        <w:tc>
          <w:tcPr>
            <w:tcW w:w="495" w:type="pct"/>
            <w:tcBorders>
              <w:top w:val="nil"/>
              <w:left w:val="nil"/>
              <w:bottom w:val="single" w:sz="4" w:space="0" w:color="auto"/>
              <w:right w:val="single" w:sz="4" w:space="0" w:color="auto"/>
            </w:tcBorders>
            <w:shd w:val="clear" w:color="000000" w:fill="3E5C60"/>
            <w:vAlign w:val="center"/>
            <w:hideMark/>
          </w:tcPr>
          <w:p w14:paraId="1714D322"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kern w:val="0"/>
                <w:sz w:val="20"/>
                <w:szCs w:val="20"/>
                <w:lang w:eastAsia="en-GB"/>
                <w14:ligatures w14:val="none"/>
              </w:rPr>
              <w:t>2024</w:t>
            </w:r>
          </w:p>
        </w:tc>
        <w:tc>
          <w:tcPr>
            <w:tcW w:w="495" w:type="pct"/>
            <w:tcBorders>
              <w:top w:val="nil"/>
              <w:left w:val="nil"/>
              <w:bottom w:val="single" w:sz="4" w:space="0" w:color="auto"/>
              <w:right w:val="single" w:sz="4" w:space="0" w:color="auto"/>
            </w:tcBorders>
            <w:shd w:val="clear" w:color="000000" w:fill="3E5C60"/>
            <w:vAlign w:val="center"/>
            <w:hideMark/>
          </w:tcPr>
          <w:p w14:paraId="14F46A97"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2023</w:t>
            </w:r>
          </w:p>
        </w:tc>
        <w:tc>
          <w:tcPr>
            <w:tcW w:w="495" w:type="pct"/>
            <w:tcBorders>
              <w:top w:val="nil"/>
              <w:left w:val="nil"/>
              <w:bottom w:val="single" w:sz="4" w:space="0" w:color="auto"/>
              <w:right w:val="single" w:sz="4" w:space="0" w:color="auto"/>
            </w:tcBorders>
            <w:shd w:val="clear" w:color="000000" w:fill="3E5C60"/>
            <w:vAlign w:val="center"/>
            <w:hideMark/>
          </w:tcPr>
          <w:p w14:paraId="7FA9CEE9"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2022</w:t>
            </w:r>
          </w:p>
        </w:tc>
        <w:tc>
          <w:tcPr>
            <w:tcW w:w="425" w:type="pct"/>
            <w:tcBorders>
              <w:top w:val="nil"/>
              <w:left w:val="nil"/>
              <w:bottom w:val="single" w:sz="4" w:space="0" w:color="auto"/>
              <w:right w:val="single" w:sz="4" w:space="0" w:color="auto"/>
            </w:tcBorders>
            <w:shd w:val="clear" w:color="000000" w:fill="3E5C60"/>
            <w:vAlign w:val="center"/>
            <w:hideMark/>
          </w:tcPr>
          <w:p w14:paraId="3073B95B"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kern w:val="0"/>
                <w:sz w:val="20"/>
                <w:szCs w:val="20"/>
                <w:lang w:eastAsia="en-GB"/>
                <w14:ligatures w14:val="none"/>
              </w:rPr>
              <w:t>2024</w:t>
            </w:r>
          </w:p>
        </w:tc>
        <w:tc>
          <w:tcPr>
            <w:tcW w:w="425" w:type="pct"/>
            <w:tcBorders>
              <w:top w:val="nil"/>
              <w:left w:val="nil"/>
              <w:bottom w:val="single" w:sz="4" w:space="0" w:color="auto"/>
              <w:right w:val="single" w:sz="4" w:space="0" w:color="auto"/>
            </w:tcBorders>
            <w:shd w:val="clear" w:color="000000" w:fill="3E5C60"/>
            <w:vAlign w:val="center"/>
            <w:hideMark/>
          </w:tcPr>
          <w:p w14:paraId="629AA382"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2023</w:t>
            </w:r>
          </w:p>
        </w:tc>
        <w:tc>
          <w:tcPr>
            <w:tcW w:w="425" w:type="pct"/>
            <w:tcBorders>
              <w:top w:val="nil"/>
              <w:left w:val="nil"/>
              <w:bottom w:val="single" w:sz="4" w:space="0" w:color="auto"/>
              <w:right w:val="single" w:sz="4" w:space="0" w:color="auto"/>
            </w:tcBorders>
            <w:shd w:val="clear" w:color="000000" w:fill="3E5C60"/>
            <w:vAlign w:val="center"/>
            <w:hideMark/>
          </w:tcPr>
          <w:p w14:paraId="617FAF0E"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2022</w:t>
            </w:r>
          </w:p>
        </w:tc>
        <w:tc>
          <w:tcPr>
            <w:tcW w:w="495" w:type="pct"/>
            <w:tcBorders>
              <w:top w:val="nil"/>
              <w:left w:val="nil"/>
              <w:bottom w:val="single" w:sz="4" w:space="0" w:color="auto"/>
              <w:right w:val="single" w:sz="4" w:space="0" w:color="auto"/>
            </w:tcBorders>
            <w:shd w:val="clear" w:color="000000" w:fill="3E5C60"/>
            <w:vAlign w:val="center"/>
            <w:hideMark/>
          </w:tcPr>
          <w:p w14:paraId="7A6B9D73"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kern w:val="0"/>
                <w:sz w:val="20"/>
                <w:szCs w:val="20"/>
                <w:lang w:eastAsia="en-GB"/>
                <w14:ligatures w14:val="none"/>
              </w:rPr>
              <w:t>2024</w:t>
            </w:r>
          </w:p>
        </w:tc>
        <w:tc>
          <w:tcPr>
            <w:tcW w:w="495" w:type="pct"/>
            <w:tcBorders>
              <w:top w:val="nil"/>
              <w:left w:val="nil"/>
              <w:bottom w:val="single" w:sz="4" w:space="0" w:color="auto"/>
              <w:right w:val="single" w:sz="4" w:space="0" w:color="auto"/>
            </w:tcBorders>
            <w:shd w:val="clear" w:color="000000" w:fill="3E5C60"/>
            <w:vAlign w:val="center"/>
            <w:hideMark/>
          </w:tcPr>
          <w:p w14:paraId="0D843E2A"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2023</w:t>
            </w:r>
          </w:p>
        </w:tc>
        <w:tc>
          <w:tcPr>
            <w:tcW w:w="495" w:type="pct"/>
            <w:tcBorders>
              <w:top w:val="nil"/>
              <w:left w:val="nil"/>
              <w:bottom w:val="single" w:sz="4" w:space="0" w:color="auto"/>
              <w:right w:val="single" w:sz="4" w:space="0" w:color="auto"/>
            </w:tcBorders>
            <w:shd w:val="clear" w:color="000000" w:fill="3E5C60"/>
            <w:vAlign w:val="center"/>
            <w:hideMark/>
          </w:tcPr>
          <w:p w14:paraId="25518EA0"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2022</w:t>
            </w:r>
          </w:p>
        </w:tc>
      </w:tr>
      <w:tr w:rsidR="00E508B9" w:rsidRPr="00B978AA" w14:paraId="50BE322C" w14:textId="77777777" w:rsidTr="00661050">
        <w:trPr>
          <w:trHeight w:val="264"/>
          <w:jc w:val="center"/>
        </w:trPr>
        <w:tc>
          <w:tcPr>
            <w:tcW w:w="751" w:type="pct"/>
            <w:vMerge/>
            <w:tcBorders>
              <w:left w:val="single" w:sz="4" w:space="0" w:color="auto"/>
              <w:bottom w:val="single" w:sz="4" w:space="0" w:color="auto"/>
              <w:right w:val="single" w:sz="4" w:space="0" w:color="auto"/>
            </w:tcBorders>
            <w:shd w:val="clear" w:color="000000" w:fill="3E5C60"/>
            <w:vAlign w:val="center"/>
            <w:hideMark/>
          </w:tcPr>
          <w:p w14:paraId="62672A0D" w14:textId="0B7735AC" w:rsidR="005F6316" w:rsidRPr="0063032C" w:rsidRDefault="005F6316" w:rsidP="005F6316">
            <w:pPr>
              <w:spacing w:after="0" w:line="240" w:lineRule="auto"/>
              <w:jc w:val="both"/>
              <w:rPr>
                <w:rFonts w:eastAsia="Times New Roman" w:cs="Times New Roman"/>
                <w:color w:val="FFFFFF"/>
                <w:kern w:val="0"/>
                <w:sz w:val="20"/>
                <w:szCs w:val="20"/>
                <w:lang w:eastAsia="en-GB"/>
                <w14:ligatures w14:val="none"/>
              </w:rPr>
            </w:pPr>
          </w:p>
        </w:tc>
        <w:tc>
          <w:tcPr>
            <w:tcW w:w="495" w:type="pct"/>
            <w:tcBorders>
              <w:top w:val="nil"/>
              <w:left w:val="nil"/>
              <w:bottom w:val="single" w:sz="4" w:space="0" w:color="auto"/>
              <w:right w:val="single" w:sz="4" w:space="0" w:color="auto"/>
            </w:tcBorders>
            <w:shd w:val="clear" w:color="000000" w:fill="3E5C60"/>
            <w:vAlign w:val="center"/>
            <w:hideMark/>
          </w:tcPr>
          <w:p w14:paraId="2AC50E0A"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495" w:type="pct"/>
            <w:tcBorders>
              <w:top w:val="nil"/>
              <w:left w:val="nil"/>
              <w:bottom w:val="single" w:sz="4" w:space="0" w:color="auto"/>
              <w:right w:val="single" w:sz="4" w:space="0" w:color="auto"/>
            </w:tcBorders>
            <w:shd w:val="clear" w:color="000000" w:fill="3E5C60"/>
            <w:vAlign w:val="center"/>
            <w:hideMark/>
          </w:tcPr>
          <w:p w14:paraId="64B85CE3"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495" w:type="pct"/>
            <w:tcBorders>
              <w:top w:val="nil"/>
              <w:left w:val="nil"/>
              <w:bottom w:val="single" w:sz="4" w:space="0" w:color="auto"/>
              <w:right w:val="single" w:sz="4" w:space="0" w:color="auto"/>
            </w:tcBorders>
            <w:shd w:val="clear" w:color="000000" w:fill="3E5C60"/>
            <w:vAlign w:val="center"/>
            <w:hideMark/>
          </w:tcPr>
          <w:p w14:paraId="0FD066B4"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425" w:type="pct"/>
            <w:tcBorders>
              <w:top w:val="nil"/>
              <w:left w:val="nil"/>
              <w:bottom w:val="single" w:sz="4" w:space="0" w:color="auto"/>
              <w:right w:val="single" w:sz="4" w:space="0" w:color="auto"/>
            </w:tcBorders>
            <w:shd w:val="clear" w:color="000000" w:fill="3E5C60"/>
            <w:vAlign w:val="center"/>
            <w:hideMark/>
          </w:tcPr>
          <w:p w14:paraId="4900D2FE"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425" w:type="pct"/>
            <w:tcBorders>
              <w:top w:val="nil"/>
              <w:left w:val="nil"/>
              <w:bottom w:val="single" w:sz="4" w:space="0" w:color="auto"/>
              <w:right w:val="single" w:sz="4" w:space="0" w:color="auto"/>
            </w:tcBorders>
            <w:shd w:val="clear" w:color="000000" w:fill="3E5C60"/>
            <w:vAlign w:val="center"/>
            <w:hideMark/>
          </w:tcPr>
          <w:p w14:paraId="3FAB3EAD"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425" w:type="pct"/>
            <w:tcBorders>
              <w:top w:val="nil"/>
              <w:left w:val="nil"/>
              <w:bottom w:val="single" w:sz="4" w:space="0" w:color="auto"/>
              <w:right w:val="single" w:sz="4" w:space="0" w:color="auto"/>
            </w:tcBorders>
            <w:shd w:val="clear" w:color="000000" w:fill="3E5C60"/>
            <w:vAlign w:val="center"/>
            <w:hideMark/>
          </w:tcPr>
          <w:p w14:paraId="27905BF9"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495" w:type="pct"/>
            <w:tcBorders>
              <w:top w:val="nil"/>
              <w:left w:val="nil"/>
              <w:bottom w:val="single" w:sz="4" w:space="0" w:color="auto"/>
              <w:right w:val="single" w:sz="4" w:space="0" w:color="auto"/>
            </w:tcBorders>
            <w:shd w:val="clear" w:color="000000" w:fill="3E5C60"/>
            <w:vAlign w:val="center"/>
            <w:hideMark/>
          </w:tcPr>
          <w:p w14:paraId="6825333A"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495" w:type="pct"/>
            <w:tcBorders>
              <w:top w:val="nil"/>
              <w:left w:val="nil"/>
              <w:bottom w:val="single" w:sz="4" w:space="0" w:color="auto"/>
              <w:right w:val="single" w:sz="4" w:space="0" w:color="auto"/>
            </w:tcBorders>
            <w:shd w:val="clear" w:color="000000" w:fill="3E5C60"/>
            <w:vAlign w:val="center"/>
            <w:hideMark/>
          </w:tcPr>
          <w:p w14:paraId="762B14C1"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495" w:type="pct"/>
            <w:tcBorders>
              <w:top w:val="nil"/>
              <w:left w:val="nil"/>
              <w:bottom w:val="single" w:sz="4" w:space="0" w:color="auto"/>
              <w:right w:val="single" w:sz="4" w:space="0" w:color="auto"/>
            </w:tcBorders>
            <w:shd w:val="clear" w:color="000000" w:fill="3E5C60"/>
            <w:vAlign w:val="center"/>
            <w:hideMark/>
          </w:tcPr>
          <w:p w14:paraId="6DC82466" w14:textId="77777777" w:rsidR="005F6316" w:rsidRPr="0063032C" w:rsidRDefault="005F6316" w:rsidP="005F6316">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r>
      <w:tr w:rsidR="00E508B9" w:rsidRPr="00B978AA" w14:paraId="1A7948EF" w14:textId="77777777" w:rsidTr="00661050">
        <w:trPr>
          <w:trHeight w:val="230"/>
          <w:jc w:val="center"/>
        </w:trPr>
        <w:tc>
          <w:tcPr>
            <w:tcW w:w="751" w:type="pct"/>
            <w:tcBorders>
              <w:top w:val="nil"/>
              <w:left w:val="single" w:sz="4" w:space="0" w:color="auto"/>
              <w:bottom w:val="single" w:sz="4" w:space="0" w:color="auto"/>
              <w:right w:val="single" w:sz="4" w:space="0" w:color="auto"/>
            </w:tcBorders>
            <w:vAlign w:val="center"/>
            <w:hideMark/>
          </w:tcPr>
          <w:p w14:paraId="4037C881" w14:textId="77777777" w:rsidR="007C1768" w:rsidRPr="0063032C" w:rsidRDefault="007C1768" w:rsidP="007C1768">
            <w:pPr>
              <w:spacing w:after="0" w:line="240" w:lineRule="auto"/>
              <w:jc w:val="both"/>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Coal</w:t>
            </w:r>
          </w:p>
        </w:tc>
        <w:tc>
          <w:tcPr>
            <w:tcW w:w="495" w:type="pct"/>
            <w:tcBorders>
              <w:top w:val="nil"/>
              <w:left w:val="nil"/>
              <w:bottom w:val="single" w:sz="4" w:space="0" w:color="auto"/>
              <w:right w:val="single" w:sz="4" w:space="0" w:color="auto"/>
            </w:tcBorders>
            <w:vAlign w:val="center"/>
            <w:hideMark/>
          </w:tcPr>
          <w:p w14:paraId="3713C1CC"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19,407</w:t>
            </w:r>
          </w:p>
        </w:tc>
        <w:tc>
          <w:tcPr>
            <w:tcW w:w="495" w:type="pct"/>
            <w:tcBorders>
              <w:top w:val="nil"/>
              <w:left w:val="nil"/>
              <w:bottom w:val="single" w:sz="4" w:space="0" w:color="auto"/>
              <w:right w:val="single" w:sz="4" w:space="0" w:color="auto"/>
            </w:tcBorders>
            <w:vAlign w:val="center"/>
            <w:hideMark/>
          </w:tcPr>
          <w:p w14:paraId="0BFE8D26" w14:textId="2285B009"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18,09</w:t>
            </w:r>
            <w:r w:rsidR="00914681">
              <w:rPr>
                <w:rFonts w:eastAsia="Times New Roman" w:cs="Times New Roman"/>
                <w:color w:val="44546A" w:themeColor="text2"/>
                <w:kern w:val="0"/>
                <w:sz w:val="20"/>
                <w:szCs w:val="20"/>
                <w:lang w:eastAsia="en-GB"/>
                <w14:ligatures w14:val="none"/>
              </w:rPr>
              <w:t>6</w:t>
            </w:r>
          </w:p>
        </w:tc>
        <w:tc>
          <w:tcPr>
            <w:tcW w:w="495" w:type="pct"/>
            <w:tcBorders>
              <w:top w:val="nil"/>
              <w:left w:val="nil"/>
              <w:bottom w:val="single" w:sz="4" w:space="0" w:color="auto"/>
              <w:right w:val="single" w:sz="4" w:space="0" w:color="auto"/>
            </w:tcBorders>
            <w:vAlign w:val="center"/>
            <w:hideMark/>
          </w:tcPr>
          <w:p w14:paraId="3F799CB5"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17,935</w:t>
            </w:r>
          </w:p>
        </w:tc>
        <w:tc>
          <w:tcPr>
            <w:tcW w:w="425" w:type="pct"/>
            <w:tcBorders>
              <w:top w:val="nil"/>
              <w:left w:val="nil"/>
              <w:bottom w:val="single" w:sz="4" w:space="0" w:color="auto"/>
              <w:right w:val="single" w:sz="4" w:space="0" w:color="auto"/>
            </w:tcBorders>
            <w:vAlign w:val="center"/>
            <w:hideMark/>
          </w:tcPr>
          <w:p w14:paraId="377DA48B" w14:textId="7163458E"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25" w:type="pct"/>
            <w:tcBorders>
              <w:top w:val="nil"/>
              <w:left w:val="nil"/>
              <w:bottom w:val="single" w:sz="4" w:space="0" w:color="auto"/>
              <w:right w:val="single" w:sz="4" w:space="0" w:color="auto"/>
            </w:tcBorders>
            <w:vAlign w:val="center"/>
            <w:hideMark/>
          </w:tcPr>
          <w:p w14:paraId="6A1E4BB3" w14:textId="588F749D"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25" w:type="pct"/>
            <w:tcBorders>
              <w:top w:val="nil"/>
              <w:left w:val="nil"/>
              <w:bottom w:val="single" w:sz="4" w:space="0" w:color="auto"/>
              <w:right w:val="single" w:sz="4" w:space="0" w:color="auto"/>
            </w:tcBorders>
            <w:vAlign w:val="center"/>
            <w:hideMark/>
          </w:tcPr>
          <w:p w14:paraId="274AFEC0" w14:textId="5E694ED3"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95" w:type="pct"/>
            <w:tcBorders>
              <w:top w:val="nil"/>
              <w:left w:val="nil"/>
              <w:bottom w:val="single" w:sz="4" w:space="0" w:color="auto"/>
              <w:right w:val="single" w:sz="4" w:space="0" w:color="auto"/>
            </w:tcBorders>
            <w:hideMark/>
          </w:tcPr>
          <w:p w14:paraId="031BD4BC" w14:textId="0B458C4E"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19,407</w:t>
            </w:r>
          </w:p>
        </w:tc>
        <w:tc>
          <w:tcPr>
            <w:tcW w:w="495" w:type="pct"/>
            <w:tcBorders>
              <w:top w:val="nil"/>
              <w:left w:val="nil"/>
              <w:bottom w:val="single" w:sz="4" w:space="0" w:color="auto"/>
              <w:right w:val="single" w:sz="4" w:space="0" w:color="auto"/>
            </w:tcBorders>
            <w:hideMark/>
          </w:tcPr>
          <w:p w14:paraId="5DBCE0A0" w14:textId="7DDBF6DB"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18,09</w:t>
            </w:r>
            <w:r w:rsidR="00932827">
              <w:rPr>
                <w:b/>
                <w:bCs/>
                <w:color w:val="44546A"/>
                <w:sz w:val="20"/>
                <w:szCs w:val="20"/>
              </w:rPr>
              <w:t>6</w:t>
            </w:r>
          </w:p>
        </w:tc>
        <w:tc>
          <w:tcPr>
            <w:tcW w:w="495" w:type="pct"/>
            <w:tcBorders>
              <w:top w:val="nil"/>
              <w:left w:val="nil"/>
              <w:bottom w:val="single" w:sz="4" w:space="0" w:color="auto"/>
              <w:right w:val="single" w:sz="4" w:space="0" w:color="auto"/>
            </w:tcBorders>
            <w:hideMark/>
          </w:tcPr>
          <w:p w14:paraId="32023A09" w14:textId="0F2468E6"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17,935</w:t>
            </w:r>
          </w:p>
        </w:tc>
      </w:tr>
      <w:tr w:rsidR="00E508B9" w:rsidRPr="00B978AA" w14:paraId="50F9EB5C" w14:textId="77777777" w:rsidTr="00661050">
        <w:trPr>
          <w:trHeight w:val="230"/>
          <w:jc w:val="center"/>
        </w:trPr>
        <w:tc>
          <w:tcPr>
            <w:tcW w:w="751" w:type="pct"/>
            <w:tcBorders>
              <w:top w:val="nil"/>
              <w:left w:val="single" w:sz="4" w:space="0" w:color="auto"/>
              <w:bottom w:val="single" w:sz="4" w:space="0" w:color="auto"/>
              <w:right w:val="single" w:sz="4" w:space="0" w:color="auto"/>
            </w:tcBorders>
            <w:vAlign w:val="center"/>
            <w:hideMark/>
          </w:tcPr>
          <w:p w14:paraId="39EFAE40" w14:textId="77777777" w:rsidR="007C1768" w:rsidRPr="0063032C" w:rsidRDefault="007C1768" w:rsidP="007C1768">
            <w:pPr>
              <w:spacing w:after="0" w:line="240" w:lineRule="auto"/>
              <w:jc w:val="both"/>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UG fleet</w:t>
            </w:r>
          </w:p>
        </w:tc>
        <w:tc>
          <w:tcPr>
            <w:tcW w:w="495" w:type="pct"/>
            <w:tcBorders>
              <w:top w:val="nil"/>
              <w:left w:val="nil"/>
              <w:bottom w:val="single" w:sz="4" w:space="0" w:color="auto"/>
              <w:right w:val="single" w:sz="4" w:space="0" w:color="auto"/>
            </w:tcBorders>
            <w:vAlign w:val="center"/>
            <w:hideMark/>
          </w:tcPr>
          <w:p w14:paraId="3AFC9448" w14:textId="27FE9DE8"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95" w:type="pct"/>
            <w:tcBorders>
              <w:top w:val="nil"/>
              <w:left w:val="nil"/>
              <w:bottom w:val="single" w:sz="4" w:space="0" w:color="auto"/>
              <w:right w:val="single" w:sz="4" w:space="0" w:color="auto"/>
            </w:tcBorders>
            <w:vAlign w:val="center"/>
            <w:hideMark/>
          </w:tcPr>
          <w:p w14:paraId="06D16F7E" w14:textId="0C881145"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w:t>
            </w:r>
          </w:p>
        </w:tc>
        <w:tc>
          <w:tcPr>
            <w:tcW w:w="495" w:type="pct"/>
            <w:tcBorders>
              <w:top w:val="nil"/>
              <w:left w:val="nil"/>
              <w:bottom w:val="single" w:sz="4" w:space="0" w:color="auto"/>
              <w:right w:val="single" w:sz="4" w:space="0" w:color="auto"/>
            </w:tcBorders>
            <w:vAlign w:val="center"/>
            <w:hideMark/>
          </w:tcPr>
          <w:p w14:paraId="2BAEE661" w14:textId="5A1F0CFE"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w:t>
            </w:r>
          </w:p>
        </w:tc>
        <w:tc>
          <w:tcPr>
            <w:tcW w:w="425" w:type="pct"/>
            <w:tcBorders>
              <w:top w:val="nil"/>
              <w:left w:val="nil"/>
              <w:bottom w:val="single" w:sz="4" w:space="0" w:color="auto"/>
              <w:right w:val="single" w:sz="4" w:space="0" w:color="auto"/>
            </w:tcBorders>
            <w:vAlign w:val="center"/>
            <w:hideMark/>
          </w:tcPr>
          <w:p w14:paraId="6FC8D427"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3,469</w:t>
            </w:r>
          </w:p>
        </w:tc>
        <w:tc>
          <w:tcPr>
            <w:tcW w:w="425" w:type="pct"/>
            <w:tcBorders>
              <w:top w:val="nil"/>
              <w:left w:val="nil"/>
              <w:bottom w:val="single" w:sz="4" w:space="0" w:color="auto"/>
              <w:right w:val="single" w:sz="4" w:space="0" w:color="auto"/>
            </w:tcBorders>
            <w:vAlign w:val="center"/>
            <w:hideMark/>
          </w:tcPr>
          <w:p w14:paraId="067FCFDC"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3,010</w:t>
            </w:r>
          </w:p>
        </w:tc>
        <w:tc>
          <w:tcPr>
            <w:tcW w:w="425" w:type="pct"/>
            <w:tcBorders>
              <w:top w:val="nil"/>
              <w:left w:val="nil"/>
              <w:bottom w:val="single" w:sz="4" w:space="0" w:color="auto"/>
              <w:right w:val="single" w:sz="4" w:space="0" w:color="auto"/>
            </w:tcBorders>
            <w:vAlign w:val="center"/>
            <w:hideMark/>
          </w:tcPr>
          <w:p w14:paraId="7055EFC7"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2,837</w:t>
            </w:r>
          </w:p>
        </w:tc>
        <w:tc>
          <w:tcPr>
            <w:tcW w:w="495" w:type="pct"/>
            <w:tcBorders>
              <w:top w:val="nil"/>
              <w:left w:val="nil"/>
              <w:bottom w:val="single" w:sz="4" w:space="0" w:color="auto"/>
              <w:right w:val="single" w:sz="4" w:space="0" w:color="auto"/>
            </w:tcBorders>
            <w:hideMark/>
          </w:tcPr>
          <w:p w14:paraId="2BDCA2B9" w14:textId="563B5F3C"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3,469</w:t>
            </w:r>
          </w:p>
        </w:tc>
        <w:tc>
          <w:tcPr>
            <w:tcW w:w="495" w:type="pct"/>
            <w:tcBorders>
              <w:top w:val="nil"/>
              <w:left w:val="nil"/>
              <w:bottom w:val="single" w:sz="4" w:space="0" w:color="auto"/>
              <w:right w:val="single" w:sz="4" w:space="0" w:color="auto"/>
            </w:tcBorders>
            <w:hideMark/>
          </w:tcPr>
          <w:p w14:paraId="4A5B6FBE" w14:textId="1C90B2F1"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3,010</w:t>
            </w:r>
          </w:p>
        </w:tc>
        <w:tc>
          <w:tcPr>
            <w:tcW w:w="495" w:type="pct"/>
            <w:tcBorders>
              <w:top w:val="nil"/>
              <w:left w:val="nil"/>
              <w:bottom w:val="single" w:sz="4" w:space="0" w:color="auto"/>
              <w:right w:val="single" w:sz="4" w:space="0" w:color="auto"/>
            </w:tcBorders>
            <w:hideMark/>
          </w:tcPr>
          <w:p w14:paraId="30DAB260" w14:textId="4BD81611"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2,837</w:t>
            </w:r>
          </w:p>
        </w:tc>
      </w:tr>
      <w:tr w:rsidR="00E508B9" w:rsidRPr="00B978AA" w14:paraId="627DCC4E" w14:textId="77777777" w:rsidTr="00661050">
        <w:trPr>
          <w:trHeight w:val="230"/>
          <w:jc w:val="center"/>
        </w:trPr>
        <w:tc>
          <w:tcPr>
            <w:tcW w:w="751" w:type="pct"/>
            <w:tcBorders>
              <w:top w:val="nil"/>
              <w:left w:val="single" w:sz="4" w:space="0" w:color="auto"/>
              <w:bottom w:val="single" w:sz="4" w:space="0" w:color="auto"/>
              <w:right w:val="single" w:sz="4" w:space="0" w:color="auto"/>
            </w:tcBorders>
            <w:vAlign w:val="center"/>
            <w:hideMark/>
          </w:tcPr>
          <w:p w14:paraId="1EC70423" w14:textId="77777777" w:rsidR="007C1768" w:rsidRPr="0063032C" w:rsidRDefault="007C1768" w:rsidP="007C1768">
            <w:pPr>
              <w:spacing w:after="0" w:line="240" w:lineRule="auto"/>
              <w:jc w:val="both"/>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Surface fleet</w:t>
            </w:r>
          </w:p>
        </w:tc>
        <w:tc>
          <w:tcPr>
            <w:tcW w:w="495" w:type="pct"/>
            <w:tcBorders>
              <w:top w:val="nil"/>
              <w:left w:val="nil"/>
              <w:bottom w:val="single" w:sz="4" w:space="0" w:color="auto"/>
              <w:right w:val="single" w:sz="4" w:space="0" w:color="auto"/>
            </w:tcBorders>
            <w:vAlign w:val="center"/>
            <w:hideMark/>
          </w:tcPr>
          <w:p w14:paraId="53F672C7"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844</w:t>
            </w:r>
          </w:p>
        </w:tc>
        <w:tc>
          <w:tcPr>
            <w:tcW w:w="495" w:type="pct"/>
            <w:tcBorders>
              <w:top w:val="nil"/>
              <w:left w:val="nil"/>
              <w:bottom w:val="single" w:sz="4" w:space="0" w:color="auto"/>
              <w:right w:val="single" w:sz="4" w:space="0" w:color="auto"/>
            </w:tcBorders>
            <w:vAlign w:val="center"/>
            <w:hideMark/>
          </w:tcPr>
          <w:p w14:paraId="309E21BF"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1,030</w:t>
            </w:r>
          </w:p>
        </w:tc>
        <w:tc>
          <w:tcPr>
            <w:tcW w:w="495" w:type="pct"/>
            <w:tcBorders>
              <w:top w:val="nil"/>
              <w:left w:val="nil"/>
              <w:bottom w:val="single" w:sz="4" w:space="0" w:color="auto"/>
              <w:right w:val="single" w:sz="4" w:space="0" w:color="auto"/>
            </w:tcBorders>
            <w:vAlign w:val="center"/>
            <w:hideMark/>
          </w:tcPr>
          <w:p w14:paraId="3D8173FA"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966</w:t>
            </w:r>
          </w:p>
        </w:tc>
        <w:tc>
          <w:tcPr>
            <w:tcW w:w="425" w:type="pct"/>
            <w:tcBorders>
              <w:top w:val="nil"/>
              <w:left w:val="nil"/>
              <w:bottom w:val="single" w:sz="4" w:space="0" w:color="auto"/>
              <w:right w:val="single" w:sz="4" w:space="0" w:color="auto"/>
            </w:tcBorders>
            <w:vAlign w:val="center"/>
            <w:hideMark/>
          </w:tcPr>
          <w:p w14:paraId="2A4B24A0"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124</w:t>
            </w:r>
          </w:p>
        </w:tc>
        <w:tc>
          <w:tcPr>
            <w:tcW w:w="425" w:type="pct"/>
            <w:tcBorders>
              <w:top w:val="nil"/>
              <w:left w:val="nil"/>
              <w:bottom w:val="single" w:sz="4" w:space="0" w:color="auto"/>
              <w:right w:val="single" w:sz="4" w:space="0" w:color="auto"/>
            </w:tcBorders>
            <w:vAlign w:val="center"/>
            <w:hideMark/>
          </w:tcPr>
          <w:p w14:paraId="1FC8C9B2"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116</w:t>
            </w:r>
          </w:p>
        </w:tc>
        <w:tc>
          <w:tcPr>
            <w:tcW w:w="425" w:type="pct"/>
            <w:tcBorders>
              <w:top w:val="nil"/>
              <w:left w:val="nil"/>
              <w:bottom w:val="single" w:sz="4" w:space="0" w:color="auto"/>
              <w:right w:val="single" w:sz="4" w:space="0" w:color="auto"/>
            </w:tcBorders>
            <w:vAlign w:val="center"/>
            <w:hideMark/>
          </w:tcPr>
          <w:p w14:paraId="74EE74A6"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97</w:t>
            </w:r>
          </w:p>
        </w:tc>
        <w:tc>
          <w:tcPr>
            <w:tcW w:w="495" w:type="pct"/>
            <w:tcBorders>
              <w:top w:val="nil"/>
              <w:left w:val="nil"/>
              <w:bottom w:val="single" w:sz="4" w:space="0" w:color="auto"/>
              <w:right w:val="single" w:sz="4" w:space="0" w:color="auto"/>
            </w:tcBorders>
            <w:hideMark/>
          </w:tcPr>
          <w:p w14:paraId="7AFDECFA" w14:textId="36520EE7"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968</w:t>
            </w:r>
          </w:p>
        </w:tc>
        <w:tc>
          <w:tcPr>
            <w:tcW w:w="495" w:type="pct"/>
            <w:tcBorders>
              <w:top w:val="nil"/>
              <w:left w:val="nil"/>
              <w:bottom w:val="single" w:sz="4" w:space="0" w:color="auto"/>
              <w:right w:val="single" w:sz="4" w:space="0" w:color="auto"/>
            </w:tcBorders>
            <w:hideMark/>
          </w:tcPr>
          <w:p w14:paraId="7A792994" w14:textId="345F16F1"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1,146</w:t>
            </w:r>
          </w:p>
        </w:tc>
        <w:tc>
          <w:tcPr>
            <w:tcW w:w="495" w:type="pct"/>
            <w:tcBorders>
              <w:top w:val="nil"/>
              <w:left w:val="nil"/>
              <w:bottom w:val="single" w:sz="4" w:space="0" w:color="auto"/>
              <w:right w:val="single" w:sz="4" w:space="0" w:color="auto"/>
            </w:tcBorders>
            <w:hideMark/>
          </w:tcPr>
          <w:p w14:paraId="153D0F39" w14:textId="7B7E9A1E"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1,063</w:t>
            </w:r>
          </w:p>
        </w:tc>
      </w:tr>
      <w:tr w:rsidR="00E508B9" w:rsidRPr="00B978AA" w14:paraId="0FE5389F" w14:textId="77777777" w:rsidTr="00661050">
        <w:trPr>
          <w:trHeight w:val="230"/>
          <w:jc w:val="center"/>
        </w:trPr>
        <w:tc>
          <w:tcPr>
            <w:tcW w:w="751" w:type="pct"/>
            <w:tcBorders>
              <w:top w:val="nil"/>
              <w:left w:val="single" w:sz="4" w:space="0" w:color="auto"/>
              <w:bottom w:val="single" w:sz="4" w:space="0" w:color="auto"/>
              <w:right w:val="single" w:sz="4" w:space="0" w:color="auto"/>
            </w:tcBorders>
            <w:vAlign w:val="center"/>
            <w:hideMark/>
          </w:tcPr>
          <w:p w14:paraId="0F13BAEF" w14:textId="6191A1BA" w:rsidR="007C1768" w:rsidRPr="0063032C" w:rsidRDefault="007C1768" w:rsidP="007C1768">
            <w:pPr>
              <w:spacing w:after="0" w:line="240" w:lineRule="auto"/>
              <w:jc w:val="both"/>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Diesel generator</w:t>
            </w:r>
          </w:p>
        </w:tc>
        <w:tc>
          <w:tcPr>
            <w:tcW w:w="495" w:type="pct"/>
            <w:tcBorders>
              <w:top w:val="nil"/>
              <w:left w:val="nil"/>
              <w:bottom w:val="single" w:sz="4" w:space="0" w:color="auto"/>
              <w:right w:val="single" w:sz="4" w:space="0" w:color="auto"/>
            </w:tcBorders>
            <w:vAlign w:val="center"/>
            <w:hideMark/>
          </w:tcPr>
          <w:p w14:paraId="02F71A33" w14:textId="752D7E01" w:rsidR="007C1768" w:rsidRPr="0063032C" w:rsidRDefault="007C1768" w:rsidP="00A2661B">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95" w:type="pct"/>
            <w:tcBorders>
              <w:top w:val="nil"/>
              <w:left w:val="nil"/>
              <w:bottom w:val="single" w:sz="4" w:space="0" w:color="auto"/>
              <w:right w:val="single" w:sz="4" w:space="0" w:color="auto"/>
            </w:tcBorders>
            <w:vAlign w:val="center"/>
            <w:hideMark/>
          </w:tcPr>
          <w:p w14:paraId="5CB4D2EB" w14:textId="7BC9C2BB" w:rsidR="007C1768" w:rsidRPr="0063032C" w:rsidRDefault="007C1768" w:rsidP="00A2661B">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95" w:type="pct"/>
            <w:tcBorders>
              <w:top w:val="nil"/>
              <w:left w:val="nil"/>
              <w:bottom w:val="single" w:sz="4" w:space="0" w:color="auto"/>
              <w:right w:val="single" w:sz="4" w:space="0" w:color="auto"/>
            </w:tcBorders>
            <w:vAlign w:val="center"/>
            <w:hideMark/>
          </w:tcPr>
          <w:p w14:paraId="200C6AA6" w14:textId="70503530" w:rsidR="007C1768" w:rsidRPr="0063032C" w:rsidRDefault="007C1768" w:rsidP="00A2661B">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25" w:type="pct"/>
            <w:tcBorders>
              <w:top w:val="nil"/>
              <w:left w:val="nil"/>
              <w:bottom w:val="single" w:sz="4" w:space="0" w:color="auto"/>
              <w:right w:val="single" w:sz="4" w:space="0" w:color="auto"/>
            </w:tcBorders>
            <w:vAlign w:val="center"/>
            <w:hideMark/>
          </w:tcPr>
          <w:p w14:paraId="176434A7" w14:textId="77777777" w:rsidR="007C1768" w:rsidRPr="0063032C" w:rsidRDefault="007C1768" w:rsidP="00A2661B">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3</w:t>
            </w:r>
          </w:p>
        </w:tc>
        <w:tc>
          <w:tcPr>
            <w:tcW w:w="425" w:type="pct"/>
            <w:tcBorders>
              <w:top w:val="nil"/>
              <w:left w:val="nil"/>
              <w:bottom w:val="single" w:sz="4" w:space="0" w:color="auto"/>
              <w:right w:val="single" w:sz="4" w:space="0" w:color="auto"/>
            </w:tcBorders>
            <w:vAlign w:val="center"/>
            <w:hideMark/>
          </w:tcPr>
          <w:p w14:paraId="7A44B60B" w14:textId="600184BD" w:rsidR="007C1768" w:rsidRPr="0063032C" w:rsidRDefault="007C1768" w:rsidP="00A2661B">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25" w:type="pct"/>
            <w:tcBorders>
              <w:top w:val="nil"/>
              <w:left w:val="nil"/>
              <w:bottom w:val="single" w:sz="4" w:space="0" w:color="auto"/>
              <w:right w:val="single" w:sz="4" w:space="0" w:color="auto"/>
            </w:tcBorders>
            <w:vAlign w:val="center"/>
            <w:hideMark/>
          </w:tcPr>
          <w:p w14:paraId="3908B9DC" w14:textId="11B1BB22" w:rsidR="007C1768" w:rsidRPr="0063032C" w:rsidRDefault="007C1768" w:rsidP="00A2661B">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95" w:type="pct"/>
            <w:tcBorders>
              <w:top w:val="nil"/>
              <w:left w:val="nil"/>
              <w:bottom w:val="single" w:sz="4" w:space="0" w:color="auto"/>
              <w:right w:val="single" w:sz="4" w:space="0" w:color="auto"/>
            </w:tcBorders>
            <w:vAlign w:val="center"/>
            <w:hideMark/>
          </w:tcPr>
          <w:p w14:paraId="1ECEFC20" w14:textId="5EAC3530"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3</w:t>
            </w:r>
          </w:p>
        </w:tc>
        <w:tc>
          <w:tcPr>
            <w:tcW w:w="495" w:type="pct"/>
            <w:tcBorders>
              <w:top w:val="nil"/>
              <w:left w:val="nil"/>
              <w:bottom w:val="single" w:sz="4" w:space="0" w:color="auto"/>
              <w:right w:val="single" w:sz="4" w:space="0" w:color="auto"/>
            </w:tcBorders>
            <w:vAlign w:val="center"/>
            <w:hideMark/>
          </w:tcPr>
          <w:p w14:paraId="05AB0AE1" w14:textId="726B8284"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w:t>
            </w:r>
          </w:p>
        </w:tc>
        <w:tc>
          <w:tcPr>
            <w:tcW w:w="495" w:type="pct"/>
            <w:tcBorders>
              <w:top w:val="nil"/>
              <w:left w:val="nil"/>
              <w:bottom w:val="single" w:sz="4" w:space="0" w:color="auto"/>
              <w:right w:val="single" w:sz="4" w:space="0" w:color="auto"/>
            </w:tcBorders>
            <w:vAlign w:val="center"/>
            <w:hideMark/>
          </w:tcPr>
          <w:p w14:paraId="0DCD1682" w14:textId="0705EA98"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w:t>
            </w:r>
          </w:p>
        </w:tc>
      </w:tr>
      <w:tr w:rsidR="00E508B9" w:rsidRPr="00B978AA" w14:paraId="75E5A6CF" w14:textId="77777777" w:rsidTr="00661050">
        <w:trPr>
          <w:trHeight w:val="230"/>
          <w:jc w:val="center"/>
        </w:trPr>
        <w:tc>
          <w:tcPr>
            <w:tcW w:w="751" w:type="pct"/>
            <w:tcBorders>
              <w:top w:val="nil"/>
              <w:left w:val="single" w:sz="4" w:space="0" w:color="auto"/>
              <w:bottom w:val="single" w:sz="4" w:space="0" w:color="auto"/>
              <w:right w:val="single" w:sz="4" w:space="0" w:color="auto"/>
            </w:tcBorders>
            <w:vAlign w:val="center"/>
            <w:hideMark/>
          </w:tcPr>
          <w:p w14:paraId="67B9D27F" w14:textId="77777777" w:rsidR="007C1768" w:rsidRPr="0063032C" w:rsidRDefault="007C1768" w:rsidP="007C1768">
            <w:pPr>
              <w:spacing w:after="0" w:line="240" w:lineRule="auto"/>
              <w:jc w:val="both"/>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Explosives</w:t>
            </w:r>
          </w:p>
        </w:tc>
        <w:tc>
          <w:tcPr>
            <w:tcW w:w="495" w:type="pct"/>
            <w:tcBorders>
              <w:top w:val="nil"/>
              <w:left w:val="nil"/>
              <w:bottom w:val="single" w:sz="4" w:space="0" w:color="auto"/>
              <w:right w:val="single" w:sz="4" w:space="0" w:color="auto"/>
            </w:tcBorders>
            <w:vAlign w:val="center"/>
            <w:hideMark/>
          </w:tcPr>
          <w:p w14:paraId="5ECD4ED1" w14:textId="7D857AC4"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95" w:type="pct"/>
            <w:tcBorders>
              <w:top w:val="nil"/>
              <w:left w:val="nil"/>
              <w:bottom w:val="single" w:sz="4" w:space="0" w:color="auto"/>
              <w:right w:val="single" w:sz="4" w:space="0" w:color="auto"/>
            </w:tcBorders>
            <w:vAlign w:val="center"/>
            <w:hideMark/>
          </w:tcPr>
          <w:p w14:paraId="05558B5C" w14:textId="6240371D"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95" w:type="pct"/>
            <w:tcBorders>
              <w:top w:val="nil"/>
              <w:left w:val="nil"/>
              <w:bottom w:val="single" w:sz="4" w:space="0" w:color="auto"/>
              <w:right w:val="single" w:sz="4" w:space="0" w:color="auto"/>
            </w:tcBorders>
            <w:vAlign w:val="center"/>
            <w:hideMark/>
          </w:tcPr>
          <w:p w14:paraId="3DCFFD52" w14:textId="15A11878"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25" w:type="pct"/>
            <w:tcBorders>
              <w:top w:val="nil"/>
              <w:left w:val="nil"/>
              <w:bottom w:val="single" w:sz="4" w:space="0" w:color="auto"/>
              <w:right w:val="single" w:sz="4" w:space="0" w:color="auto"/>
            </w:tcBorders>
            <w:vAlign w:val="center"/>
            <w:hideMark/>
          </w:tcPr>
          <w:p w14:paraId="6F3615C4"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131</w:t>
            </w:r>
          </w:p>
        </w:tc>
        <w:tc>
          <w:tcPr>
            <w:tcW w:w="425" w:type="pct"/>
            <w:tcBorders>
              <w:top w:val="nil"/>
              <w:left w:val="nil"/>
              <w:bottom w:val="single" w:sz="4" w:space="0" w:color="auto"/>
              <w:right w:val="single" w:sz="4" w:space="0" w:color="auto"/>
            </w:tcBorders>
            <w:vAlign w:val="center"/>
            <w:hideMark/>
          </w:tcPr>
          <w:p w14:paraId="08EDFE63"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128</w:t>
            </w:r>
          </w:p>
        </w:tc>
        <w:tc>
          <w:tcPr>
            <w:tcW w:w="425" w:type="pct"/>
            <w:tcBorders>
              <w:top w:val="nil"/>
              <w:left w:val="nil"/>
              <w:bottom w:val="single" w:sz="4" w:space="0" w:color="auto"/>
              <w:right w:val="single" w:sz="4" w:space="0" w:color="auto"/>
            </w:tcBorders>
            <w:vAlign w:val="center"/>
            <w:hideMark/>
          </w:tcPr>
          <w:p w14:paraId="2D44CAF2"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126</w:t>
            </w:r>
          </w:p>
        </w:tc>
        <w:tc>
          <w:tcPr>
            <w:tcW w:w="495" w:type="pct"/>
            <w:tcBorders>
              <w:top w:val="nil"/>
              <w:left w:val="nil"/>
              <w:bottom w:val="single" w:sz="4" w:space="0" w:color="auto"/>
              <w:right w:val="single" w:sz="4" w:space="0" w:color="auto"/>
            </w:tcBorders>
            <w:hideMark/>
          </w:tcPr>
          <w:p w14:paraId="432A7B7B" w14:textId="345695C6"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131</w:t>
            </w:r>
          </w:p>
        </w:tc>
        <w:tc>
          <w:tcPr>
            <w:tcW w:w="495" w:type="pct"/>
            <w:tcBorders>
              <w:top w:val="nil"/>
              <w:left w:val="nil"/>
              <w:bottom w:val="single" w:sz="4" w:space="0" w:color="auto"/>
              <w:right w:val="single" w:sz="4" w:space="0" w:color="auto"/>
            </w:tcBorders>
            <w:hideMark/>
          </w:tcPr>
          <w:p w14:paraId="4FD00828" w14:textId="77CF8B50"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128</w:t>
            </w:r>
          </w:p>
        </w:tc>
        <w:tc>
          <w:tcPr>
            <w:tcW w:w="495" w:type="pct"/>
            <w:tcBorders>
              <w:top w:val="nil"/>
              <w:left w:val="nil"/>
              <w:bottom w:val="single" w:sz="4" w:space="0" w:color="auto"/>
              <w:right w:val="single" w:sz="4" w:space="0" w:color="auto"/>
            </w:tcBorders>
            <w:hideMark/>
          </w:tcPr>
          <w:p w14:paraId="7AD5C4A3" w14:textId="29858BDD"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126</w:t>
            </w:r>
          </w:p>
        </w:tc>
      </w:tr>
      <w:tr w:rsidR="00E508B9" w:rsidRPr="00B978AA" w14:paraId="6290A16A" w14:textId="77777777" w:rsidTr="00661050">
        <w:trPr>
          <w:trHeight w:val="439"/>
          <w:jc w:val="center"/>
        </w:trPr>
        <w:tc>
          <w:tcPr>
            <w:tcW w:w="751" w:type="pct"/>
            <w:tcBorders>
              <w:top w:val="nil"/>
              <w:left w:val="single" w:sz="4" w:space="0" w:color="auto"/>
              <w:bottom w:val="single" w:sz="4" w:space="0" w:color="auto"/>
              <w:right w:val="single" w:sz="4" w:space="0" w:color="auto"/>
            </w:tcBorders>
            <w:vAlign w:val="center"/>
            <w:hideMark/>
          </w:tcPr>
          <w:p w14:paraId="063D4E4F" w14:textId="77777777" w:rsidR="007C1768" w:rsidRPr="0063032C" w:rsidRDefault="007C1768" w:rsidP="00DA35A0">
            <w:pPr>
              <w:spacing w:after="0" w:line="240" w:lineRule="auto"/>
              <w:jc w:val="both"/>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Sewage treatment plant</w:t>
            </w:r>
          </w:p>
        </w:tc>
        <w:tc>
          <w:tcPr>
            <w:tcW w:w="495" w:type="pct"/>
            <w:tcBorders>
              <w:top w:val="nil"/>
              <w:left w:val="nil"/>
              <w:bottom w:val="single" w:sz="4" w:space="0" w:color="auto"/>
              <w:right w:val="single" w:sz="4" w:space="0" w:color="auto"/>
            </w:tcBorders>
            <w:vAlign w:val="center"/>
            <w:hideMark/>
          </w:tcPr>
          <w:p w14:paraId="78F1F0F5" w14:textId="2B0BAE0B" w:rsidR="007C1768" w:rsidRPr="0063032C" w:rsidRDefault="007C1768" w:rsidP="00A2661B">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95" w:type="pct"/>
            <w:tcBorders>
              <w:top w:val="nil"/>
              <w:left w:val="nil"/>
              <w:bottom w:val="single" w:sz="4" w:space="0" w:color="auto"/>
              <w:right w:val="single" w:sz="4" w:space="0" w:color="auto"/>
            </w:tcBorders>
            <w:vAlign w:val="center"/>
            <w:hideMark/>
          </w:tcPr>
          <w:p w14:paraId="74B5D30C" w14:textId="538808F1" w:rsidR="007C1768" w:rsidRPr="0063032C" w:rsidRDefault="007C1768" w:rsidP="00A2661B">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95" w:type="pct"/>
            <w:tcBorders>
              <w:top w:val="nil"/>
              <w:left w:val="nil"/>
              <w:bottom w:val="single" w:sz="4" w:space="0" w:color="auto"/>
              <w:right w:val="single" w:sz="4" w:space="0" w:color="auto"/>
            </w:tcBorders>
            <w:vAlign w:val="center"/>
            <w:hideMark/>
          </w:tcPr>
          <w:p w14:paraId="7E6E70DC" w14:textId="3AD5E18E" w:rsidR="007C1768" w:rsidRPr="0063032C" w:rsidRDefault="007C1768" w:rsidP="00A2661B">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25" w:type="pct"/>
            <w:tcBorders>
              <w:top w:val="nil"/>
              <w:left w:val="nil"/>
              <w:bottom w:val="single" w:sz="4" w:space="0" w:color="auto"/>
              <w:right w:val="single" w:sz="4" w:space="0" w:color="auto"/>
            </w:tcBorders>
            <w:vAlign w:val="center"/>
            <w:hideMark/>
          </w:tcPr>
          <w:p w14:paraId="6DECB1B6" w14:textId="77777777" w:rsidR="007C1768" w:rsidRPr="0063032C" w:rsidRDefault="007C1768" w:rsidP="00A2661B">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77</w:t>
            </w:r>
          </w:p>
        </w:tc>
        <w:tc>
          <w:tcPr>
            <w:tcW w:w="425" w:type="pct"/>
            <w:tcBorders>
              <w:top w:val="nil"/>
              <w:left w:val="nil"/>
              <w:bottom w:val="single" w:sz="4" w:space="0" w:color="auto"/>
              <w:right w:val="single" w:sz="4" w:space="0" w:color="auto"/>
            </w:tcBorders>
            <w:vAlign w:val="center"/>
            <w:hideMark/>
          </w:tcPr>
          <w:p w14:paraId="2C6A94D2" w14:textId="77777777" w:rsidR="007C1768" w:rsidRPr="0063032C" w:rsidRDefault="007C1768" w:rsidP="00A2661B">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77</w:t>
            </w:r>
          </w:p>
        </w:tc>
        <w:tc>
          <w:tcPr>
            <w:tcW w:w="425" w:type="pct"/>
            <w:tcBorders>
              <w:top w:val="nil"/>
              <w:left w:val="nil"/>
              <w:bottom w:val="single" w:sz="4" w:space="0" w:color="auto"/>
              <w:right w:val="single" w:sz="4" w:space="0" w:color="auto"/>
            </w:tcBorders>
            <w:vAlign w:val="center"/>
            <w:hideMark/>
          </w:tcPr>
          <w:p w14:paraId="0FDBFFF4" w14:textId="77777777" w:rsidR="007C1768" w:rsidRPr="0063032C" w:rsidRDefault="007C1768" w:rsidP="00A2661B">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77</w:t>
            </w:r>
          </w:p>
        </w:tc>
        <w:tc>
          <w:tcPr>
            <w:tcW w:w="495" w:type="pct"/>
            <w:tcBorders>
              <w:top w:val="nil"/>
              <w:left w:val="nil"/>
              <w:bottom w:val="single" w:sz="4" w:space="0" w:color="auto"/>
              <w:right w:val="single" w:sz="4" w:space="0" w:color="auto"/>
            </w:tcBorders>
            <w:vAlign w:val="center"/>
            <w:hideMark/>
          </w:tcPr>
          <w:p w14:paraId="05F6E7F2" w14:textId="343056BF"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77</w:t>
            </w:r>
          </w:p>
        </w:tc>
        <w:tc>
          <w:tcPr>
            <w:tcW w:w="495" w:type="pct"/>
            <w:tcBorders>
              <w:top w:val="nil"/>
              <w:left w:val="nil"/>
              <w:bottom w:val="single" w:sz="4" w:space="0" w:color="auto"/>
              <w:right w:val="single" w:sz="4" w:space="0" w:color="auto"/>
            </w:tcBorders>
            <w:vAlign w:val="center"/>
            <w:hideMark/>
          </w:tcPr>
          <w:p w14:paraId="6C2CDA25" w14:textId="72D368A9"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77</w:t>
            </w:r>
          </w:p>
        </w:tc>
        <w:tc>
          <w:tcPr>
            <w:tcW w:w="495" w:type="pct"/>
            <w:tcBorders>
              <w:top w:val="nil"/>
              <w:left w:val="nil"/>
              <w:bottom w:val="single" w:sz="4" w:space="0" w:color="auto"/>
              <w:right w:val="single" w:sz="4" w:space="0" w:color="auto"/>
            </w:tcBorders>
            <w:vAlign w:val="center"/>
            <w:hideMark/>
          </w:tcPr>
          <w:p w14:paraId="0FB9B63B" w14:textId="7818DD16"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77</w:t>
            </w:r>
          </w:p>
        </w:tc>
      </w:tr>
      <w:tr w:rsidR="00E508B9" w:rsidRPr="00B978AA" w14:paraId="71D3344D" w14:textId="77777777" w:rsidTr="00661050">
        <w:trPr>
          <w:trHeight w:val="230"/>
          <w:jc w:val="center"/>
        </w:trPr>
        <w:tc>
          <w:tcPr>
            <w:tcW w:w="751" w:type="pct"/>
            <w:tcBorders>
              <w:top w:val="nil"/>
              <w:left w:val="single" w:sz="4" w:space="0" w:color="auto"/>
              <w:bottom w:val="single" w:sz="4" w:space="0" w:color="auto"/>
              <w:right w:val="single" w:sz="4" w:space="0" w:color="auto"/>
            </w:tcBorders>
            <w:vAlign w:val="center"/>
            <w:hideMark/>
          </w:tcPr>
          <w:p w14:paraId="618D513F" w14:textId="77777777" w:rsidR="007C1768" w:rsidRPr="0063032C" w:rsidRDefault="007C1768" w:rsidP="007C1768">
            <w:pPr>
              <w:spacing w:after="0" w:line="240" w:lineRule="auto"/>
              <w:jc w:val="both"/>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Refrigeration</w:t>
            </w:r>
          </w:p>
        </w:tc>
        <w:tc>
          <w:tcPr>
            <w:tcW w:w="495" w:type="pct"/>
            <w:tcBorders>
              <w:top w:val="nil"/>
              <w:left w:val="nil"/>
              <w:bottom w:val="single" w:sz="4" w:space="0" w:color="auto"/>
              <w:right w:val="single" w:sz="4" w:space="0" w:color="auto"/>
            </w:tcBorders>
            <w:vAlign w:val="center"/>
            <w:hideMark/>
          </w:tcPr>
          <w:p w14:paraId="0572D3C1" w14:textId="33546306"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95" w:type="pct"/>
            <w:tcBorders>
              <w:top w:val="nil"/>
              <w:left w:val="nil"/>
              <w:bottom w:val="single" w:sz="4" w:space="0" w:color="auto"/>
              <w:right w:val="single" w:sz="4" w:space="0" w:color="auto"/>
            </w:tcBorders>
            <w:vAlign w:val="center"/>
            <w:hideMark/>
          </w:tcPr>
          <w:p w14:paraId="21323BE0" w14:textId="6C646058"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95" w:type="pct"/>
            <w:tcBorders>
              <w:top w:val="nil"/>
              <w:left w:val="nil"/>
              <w:bottom w:val="single" w:sz="4" w:space="0" w:color="auto"/>
              <w:right w:val="single" w:sz="4" w:space="0" w:color="auto"/>
            </w:tcBorders>
            <w:vAlign w:val="center"/>
            <w:hideMark/>
          </w:tcPr>
          <w:p w14:paraId="1F2FD306" w14:textId="2CC51564"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w:t>
            </w:r>
          </w:p>
        </w:tc>
        <w:tc>
          <w:tcPr>
            <w:tcW w:w="425" w:type="pct"/>
            <w:tcBorders>
              <w:top w:val="nil"/>
              <w:left w:val="nil"/>
              <w:bottom w:val="single" w:sz="4" w:space="0" w:color="auto"/>
              <w:right w:val="single" w:sz="4" w:space="0" w:color="auto"/>
            </w:tcBorders>
            <w:vAlign w:val="center"/>
            <w:hideMark/>
          </w:tcPr>
          <w:p w14:paraId="08BF4E12"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19</w:t>
            </w:r>
          </w:p>
        </w:tc>
        <w:tc>
          <w:tcPr>
            <w:tcW w:w="425" w:type="pct"/>
            <w:tcBorders>
              <w:top w:val="nil"/>
              <w:left w:val="nil"/>
              <w:bottom w:val="single" w:sz="4" w:space="0" w:color="auto"/>
              <w:right w:val="single" w:sz="4" w:space="0" w:color="auto"/>
            </w:tcBorders>
            <w:vAlign w:val="center"/>
            <w:hideMark/>
          </w:tcPr>
          <w:p w14:paraId="2E22C78E"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19</w:t>
            </w:r>
          </w:p>
        </w:tc>
        <w:tc>
          <w:tcPr>
            <w:tcW w:w="425" w:type="pct"/>
            <w:tcBorders>
              <w:top w:val="nil"/>
              <w:left w:val="nil"/>
              <w:bottom w:val="single" w:sz="4" w:space="0" w:color="auto"/>
              <w:right w:val="single" w:sz="4" w:space="0" w:color="auto"/>
            </w:tcBorders>
            <w:vAlign w:val="center"/>
            <w:hideMark/>
          </w:tcPr>
          <w:p w14:paraId="074E6336" w14:textId="77777777" w:rsidR="007C1768" w:rsidRPr="0063032C" w:rsidRDefault="007C1768" w:rsidP="007C176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13</w:t>
            </w:r>
          </w:p>
        </w:tc>
        <w:tc>
          <w:tcPr>
            <w:tcW w:w="495" w:type="pct"/>
            <w:tcBorders>
              <w:top w:val="nil"/>
              <w:left w:val="nil"/>
              <w:bottom w:val="single" w:sz="4" w:space="0" w:color="auto"/>
              <w:right w:val="single" w:sz="4" w:space="0" w:color="auto"/>
            </w:tcBorders>
            <w:hideMark/>
          </w:tcPr>
          <w:p w14:paraId="6540D32D" w14:textId="65B70852"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19</w:t>
            </w:r>
          </w:p>
        </w:tc>
        <w:tc>
          <w:tcPr>
            <w:tcW w:w="495" w:type="pct"/>
            <w:tcBorders>
              <w:top w:val="nil"/>
              <w:left w:val="nil"/>
              <w:bottom w:val="single" w:sz="4" w:space="0" w:color="auto"/>
              <w:right w:val="single" w:sz="4" w:space="0" w:color="auto"/>
            </w:tcBorders>
            <w:hideMark/>
          </w:tcPr>
          <w:p w14:paraId="02F246E9" w14:textId="24FBE6D1"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19</w:t>
            </w:r>
          </w:p>
        </w:tc>
        <w:tc>
          <w:tcPr>
            <w:tcW w:w="495" w:type="pct"/>
            <w:tcBorders>
              <w:top w:val="nil"/>
              <w:left w:val="nil"/>
              <w:bottom w:val="single" w:sz="4" w:space="0" w:color="auto"/>
              <w:right w:val="single" w:sz="4" w:space="0" w:color="auto"/>
            </w:tcBorders>
            <w:hideMark/>
          </w:tcPr>
          <w:p w14:paraId="2396F8CA" w14:textId="21B24DF8"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13</w:t>
            </w:r>
          </w:p>
        </w:tc>
      </w:tr>
      <w:tr w:rsidR="00E508B9" w:rsidRPr="00B978AA" w14:paraId="7985DA29" w14:textId="77777777" w:rsidTr="00661050">
        <w:trPr>
          <w:trHeight w:val="230"/>
          <w:jc w:val="center"/>
        </w:trPr>
        <w:tc>
          <w:tcPr>
            <w:tcW w:w="751" w:type="pct"/>
            <w:tcBorders>
              <w:top w:val="nil"/>
              <w:left w:val="single" w:sz="4" w:space="0" w:color="auto"/>
              <w:bottom w:val="single" w:sz="4" w:space="0" w:color="auto"/>
              <w:right w:val="single" w:sz="4" w:space="0" w:color="auto"/>
            </w:tcBorders>
            <w:vAlign w:val="center"/>
            <w:hideMark/>
          </w:tcPr>
          <w:p w14:paraId="4E8A536D" w14:textId="77777777" w:rsidR="007C1768" w:rsidRPr="0063032C" w:rsidRDefault="007C1768" w:rsidP="007C1768">
            <w:pPr>
              <w:spacing w:after="0" w:line="240" w:lineRule="auto"/>
              <w:jc w:val="both"/>
              <w:rPr>
                <w:rFonts w:eastAsia="Times New Roman" w:cs="Times New Roman"/>
                <w:b/>
                <w:color w:val="44546A"/>
                <w:kern w:val="0"/>
                <w:sz w:val="20"/>
                <w:szCs w:val="20"/>
                <w:lang w:eastAsia="en-GB"/>
                <w14:ligatures w14:val="none"/>
              </w:rPr>
            </w:pPr>
            <w:r w:rsidRPr="0063032C">
              <w:rPr>
                <w:rFonts w:eastAsia="Times New Roman" w:cs="Times New Roman"/>
                <w:b/>
                <w:color w:val="44546A" w:themeColor="text2"/>
                <w:kern w:val="0"/>
                <w:sz w:val="20"/>
                <w:szCs w:val="20"/>
                <w:lang w:eastAsia="en-GB"/>
                <w14:ligatures w14:val="none"/>
              </w:rPr>
              <w:t>Total</w:t>
            </w:r>
          </w:p>
        </w:tc>
        <w:tc>
          <w:tcPr>
            <w:tcW w:w="495" w:type="pct"/>
            <w:tcBorders>
              <w:top w:val="nil"/>
              <w:left w:val="nil"/>
              <w:bottom w:val="single" w:sz="4" w:space="0" w:color="auto"/>
              <w:right w:val="single" w:sz="4" w:space="0" w:color="auto"/>
            </w:tcBorders>
            <w:vAlign w:val="center"/>
            <w:hideMark/>
          </w:tcPr>
          <w:p w14:paraId="2BAF5457" w14:textId="77777777" w:rsidR="007C1768" w:rsidRPr="0063032C" w:rsidRDefault="007C1768" w:rsidP="007C176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kern w:val="0"/>
                <w:sz w:val="20"/>
                <w:szCs w:val="20"/>
                <w:lang w:eastAsia="en-GB"/>
                <w14:ligatures w14:val="none"/>
              </w:rPr>
              <w:t>20,251</w:t>
            </w:r>
          </w:p>
        </w:tc>
        <w:tc>
          <w:tcPr>
            <w:tcW w:w="495" w:type="pct"/>
            <w:tcBorders>
              <w:top w:val="nil"/>
              <w:left w:val="nil"/>
              <w:bottom w:val="single" w:sz="4" w:space="0" w:color="auto"/>
              <w:right w:val="single" w:sz="4" w:space="0" w:color="auto"/>
            </w:tcBorders>
            <w:vAlign w:val="center"/>
            <w:hideMark/>
          </w:tcPr>
          <w:p w14:paraId="00435BFC" w14:textId="0EAA1A18" w:rsidR="007C1768" w:rsidRPr="0063032C" w:rsidRDefault="007C1768" w:rsidP="007C176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themeColor="text2"/>
                <w:kern w:val="0"/>
                <w:sz w:val="20"/>
                <w:szCs w:val="20"/>
                <w:lang w:eastAsia="en-GB"/>
                <w14:ligatures w14:val="none"/>
              </w:rPr>
              <w:t>19,12</w:t>
            </w:r>
            <w:r w:rsidR="00914681">
              <w:rPr>
                <w:rFonts w:eastAsia="Times New Roman" w:cs="Times New Roman"/>
                <w:b/>
                <w:bCs/>
                <w:color w:val="44546A" w:themeColor="text2"/>
                <w:kern w:val="0"/>
                <w:sz w:val="20"/>
                <w:szCs w:val="20"/>
                <w:lang w:eastAsia="en-GB"/>
                <w14:ligatures w14:val="none"/>
              </w:rPr>
              <w:t>6</w:t>
            </w:r>
          </w:p>
        </w:tc>
        <w:tc>
          <w:tcPr>
            <w:tcW w:w="495" w:type="pct"/>
            <w:tcBorders>
              <w:top w:val="nil"/>
              <w:left w:val="nil"/>
              <w:bottom w:val="single" w:sz="4" w:space="0" w:color="auto"/>
              <w:right w:val="single" w:sz="4" w:space="0" w:color="auto"/>
            </w:tcBorders>
            <w:vAlign w:val="center"/>
            <w:hideMark/>
          </w:tcPr>
          <w:p w14:paraId="332C85E0" w14:textId="77777777" w:rsidR="007C1768" w:rsidRPr="0063032C" w:rsidRDefault="007C1768" w:rsidP="007C176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themeColor="text2"/>
                <w:kern w:val="0"/>
                <w:sz w:val="20"/>
                <w:szCs w:val="20"/>
                <w:lang w:eastAsia="en-GB"/>
                <w14:ligatures w14:val="none"/>
              </w:rPr>
              <w:t>18,901</w:t>
            </w:r>
          </w:p>
        </w:tc>
        <w:tc>
          <w:tcPr>
            <w:tcW w:w="425" w:type="pct"/>
            <w:tcBorders>
              <w:top w:val="nil"/>
              <w:left w:val="nil"/>
              <w:bottom w:val="single" w:sz="4" w:space="0" w:color="auto"/>
              <w:right w:val="single" w:sz="4" w:space="0" w:color="auto"/>
            </w:tcBorders>
            <w:vAlign w:val="center"/>
            <w:hideMark/>
          </w:tcPr>
          <w:p w14:paraId="4E18A61C" w14:textId="77777777" w:rsidR="007C1768" w:rsidRPr="0063032C" w:rsidRDefault="007C1768" w:rsidP="007C176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kern w:val="0"/>
                <w:sz w:val="20"/>
                <w:szCs w:val="20"/>
                <w:lang w:eastAsia="en-GB"/>
                <w14:ligatures w14:val="none"/>
              </w:rPr>
              <w:t>3,823</w:t>
            </w:r>
          </w:p>
        </w:tc>
        <w:tc>
          <w:tcPr>
            <w:tcW w:w="425" w:type="pct"/>
            <w:tcBorders>
              <w:top w:val="nil"/>
              <w:left w:val="nil"/>
              <w:bottom w:val="single" w:sz="4" w:space="0" w:color="auto"/>
              <w:right w:val="single" w:sz="4" w:space="0" w:color="auto"/>
            </w:tcBorders>
            <w:vAlign w:val="center"/>
            <w:hideMark/>
          </w:tcPr>
          <w:p w14:paraId="22A97031" w14:textId="77777777" w:rsidR="007C1768" w:rsidRPr="0063032C" w:rsidRDefault="007C1768" w:rsidP="007C176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themeColor="text2"/>
                <w:kern w:val="0"/>
                <w:sz w:val="20"/>
                <w:szCs w:val="20"/>
                <w:lang w:eastAsia="en-GB"/>
                <w14:ligatures w14:val="none"/>
              </w:rPr>
              <w:t>3,350</w:t>
            </w:r>
          </w:p>
        </w:tc>
        <w:tc>
          <w:tcPr>
            <w:tcW w:w="425" w:type="pct"/>
            <w:tcBorders>
              <w:top w:val="nil"/>
              <w:left w:val="nil"/>
              <w:bottom w:val="single" w:sz="4" w:space="0" w:color="auto"/>
              <w:right w:val="single" w:sz="4" w:space="0" w:color="auto"/>
            </w:tcBorders>
            <w:vAlign w:val="center"/>
            <w:hideMark/>
          </w:tcPr>
          <w:p w14:paraId="5941D07B" w14:textId="77777777" w:rsidR="007C1768" w:rsidRPr="0063032C" w:rsidRDefault="007C1768" w:rsidP="007C176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themeColor="text2"/>
                <w:kern w:val="0"/>
                <w:sz w:val="20"/>
                <w:szCs w:val="20"/>
                <w:lang w:eastAsia="en-GB"/>
                <w14:ligatures w14:val="none"/>
              </w:rPr>
              <w:t>3,150</w:t>
            </w:r>
          </w:p>
        </w:tc>
        <w:tc>
          <w:tcPr>
            <w:tcW w:w="495" w:type="pct"/>
            <w:tcBorders>
              <w:top w:val="nil"/>
              <w:left w:val="nil"/>
              <w:bottom w:val="single" w:sz="4" w:space="0" w:color="auto"/>
              <w:right w:val="single" w:sz="4" w:space="0" w:color="auto"/>
            </w:tcBorders>
            <w:hideMark/>
          </w:tcPr>
          <w:p w14:paraId="4CE7DFDD" w14:textId="5C9FC1B3"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24,074</w:t>
            </w:r>
          </w:p>
        </w:tc>
        <w:tc>
          <w:tcPr>
            <w:tcW w:w="495" w:type="pct"/>
            <w:tcBorders>
              <w:top w:val="nil"/>
              <w:left w:val="nil"/>
              <w:bottom w:val="single" w:sz="4" w:space="0" w:color="auto"/>
              <w:right w:val="single" w:sz="4" w:space="0" w:color="auto"/>
            </w:tcBorders>
            <w:hideMark/>
          </w:tcPr>
          <w:p w14:paraId="768411AD" w14:textId="17A7F75D"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22,47</w:t>
            </w:r>
            <w:r w:rsidR="00932827">
              <w:rPr>
                <w:b/>
                <w:bCs/>
                <w:color w:val="44546A"/>
                <w:sz w:val="20"/>
                <w:szCs w:val="20"/>
              </w:rPr>
              <w:t>6</w:t>
            </w:r>
          </w:p>
        </w:tc>
        <w:tc>
          <w:tcPr>
            <w:tcW w:w="495" w:type="pct"/>
            <w:tcBorders>
              <w:top w:val="nil"/>
              <w:left w:val="nil"/>
              <w:bottom w:val="single" w:sz="4" w:space="0" w:color="auto"/>
              <w:right w:val="single" w:sz="4" w:space="0" w:color="auto"/>
            </w:tcBorders>
            <w:hideMark/>
          </w:tcPr>
          <w:p w14:paraId="43A7055F" w14:textId="33284351" w:rsidR="007C1768" w:rsidRPr="0063032C" w:rsidRDefault="007C1768" w:rsidP="00A2661B">
            <w:pPr>
              <w:spacing w:after="0" w:line="240" w:lineRule="auto"/>
              <w:jc w:val="center"/>
              <w:rPr>
                <w:rFonts w:eastAsia="Times New Roman" w:cs="Times New Roman"/>
                <w:b/>
                <w:color w:val="44546A"/>
                <w:kern w:val="0"/>
                <w:sz w:val="20"/>
                <w:szCs w:val="20"/>
                <w:lang w:eastAsia="en-GB"/>
                <w14:ligatures w14:val="none"/>
              </w:rPr>
            </w:pPr>
            <w:r w:rsidRPr="0063032C">
              <w:rPr>
                <w:b/>
                <w:color w:val="44546A"/>
                <w:sz w:val="20"/>
                <w:szCs w:val="20"/>
              </w:rPr>
              <w:t>22,051</w:t>
            </w:r>
          </w:p>
        </w:tc>
      </w:tr>
    </w:tbl>
    <w:p w14:paraId="14702310" w14:textId="60763735" w:rsidR="002A1CC2" w:rsidRPr="001637D7" w:rsidRDefault="002A1CC2" w:rsidP="001637D7">
      <w:pPr>
        <w:pStyle w:val="Heading2"/>
      </w:pPr>
      <w:bookmarkStart w:id="5" w:name="_Toc194670363"/>
      <w:r w:rsidRPr="001637D7">
        <w:t>Scope 2</w:t>
      </w:r>
      <w:bookmarkEnd w:id="5"/>
    </w:p>
    <w:p w14:paraId="29D5FA16" w14:textId="77777777" w:rsidR="00AD65FD" w:rsidRPr="008F0D85" w:rsidRDefault="00AD65FD" w:rsidP="00D16A3F">
      <w:pPr>
        <w:pStyle w:val="Heading4"/>
        <w:rPr>
          <w:i w:val="0"/>
        </w:rPr>
      </w:pPr>
      <w:r w:rsidRPr="008F0D85">
        <w:t>Definition</w:t>
      </w:r>
    </w:p>
    <w:p w14:paraId="67AC0F13" w14:textId="71115CA3" w:rsidR="006218FE" w:rsidRPr="008F0D85" w:rsidRDefault="00C36CF2" w:rsidP="00E325F9">
      <w:pPr>
        <w:tabs>
          <w:tab w:val="left" w:pos="4820"/>
        </w:tabs>
        <w:jc w:val="both"/>
        <w:rPr>
          <w:color w:val="44546A" w:themeColor="text2"/>
        </w:rPr>
      </w:pPr>
      <w:r w:rsidRPr="008F0D85">
        <w:rPr>
          <w:color w:val="44546A" w:themeColor="text2"/>
        </w:rPr>
        <w:t xml:space="preserve">Scope 2 emissions involve indirect </w:t>
      </w:r>
      <w:r w:rsidR="003C6A7F" w:rsidRPr="008F0D85">
        <w:rPr>
          <w:color w:val="44546A" w:themeColor="text2"/>
        </w:rPr>
        <w:t xml:space="preserve">GHG </w:t>
      </w:r>
      <w:r w:rsidRPr="008F0D85">
        <w:rPr>
          <w:color w:val="44546A" w:themeColor="text2"/>
        </w:rPr>
        <w:t xml:space="preserve">emissions stemming from purchased energy sources, such as electricity. </w:t>
      </w:r>
    </w:p>
    <w:p w14:paraId="7BB7B92B" w14:textId="77777777" w:rsidR="00AD65FD" w:rsidRPr="008F0D85" w:rsidRDefault="00AD65FD" w:rsidP="00D16A3F">
      <w:pPr>
        <w:pStyle w:val="Heading4"/>
        <w:rPr>
          <w:i w:val="0"/>
        </w:rPr>
      </w:pPr>
      <w:r w:rsidRPr="008F0D85">
        <w:t>Calculation boundary</w:t>
      </w:r>
    </w:p>
    <w:p w14:paraId="0A3F6D93" w14:textId="42CDB074" w:rsidR="007E7A6E" w:rsidRPr="008F0D85" w:rsidRDefault="0004675C" w:rsidP="00E325F9">
      <w:pPr>
        <w:tabs>
          <w:tab w:val="left" w:pos="4820"/>
        </w:tabs>
        <w:jc w:val="both"/>
        <w:rPr>
          <w:rFonts w:eastAsia="Times New Roman" w:cs="Times New Roman"/>
          <w:color w:val="44546A" w:themeColor="text2"/>
          <w:kern w:val="0"/>
          <w:lang w:val="en-US"/>
          <w14:ligatures w14:val="none"/>
        </w:rPr>
      </w:pPr>
      <w:r w:rsidRPr="008F0D85">
        <w:rPr>
          <w:color w:val="44546A" w:themeColor="text2"/>
        </w:rPr>
        <w:t xml:space="preserve">CAML’s </w:t>
      </w:r>
      <w:r w:rsidR="002F5236" w:rsidRPr="008F0D85">
        <w:rPr>
          <w:color w:val="44546A" w:themeColor="text2"/>
        </w:rPr>
        <w:t>emissions include</w:t>
      </w:r>
      <w:r w:rsidR="007E7A6E" w:rsidRPr="008F0D85">
        <w:rPr>
          <w:color w:val="44546A" w:themeColor="text2"/>
        </w:rPr>
        <w:t xml:space="preserve"> purchased </w:t>
      </w:r>
      <w:r w:rsidR="007E7A6E" w:rsidRPr="000705EC">
        <w:rPr>
          <w:color w:val="44546A" w:themeColor="text2"/>
        </w:rPr>
        <w:t>electricity</w:t>
      </w:r>
      <w:r w:rsidR="0062463A" w:rsidRPr="000705EC">
        <w:rPr>
          <w:color w:val="44546A" w:themeColor="text2"/>
        </w:rPr>
        <w:t xml:space="preserve"> from the grid for its </w:t>
      </w:r>
      <w:r w:rsidR="008A586F" w:rsidRPr="000705EC">
        <w:rPr>
          <w:color w:val="44546A" w:themeColor="text2"/>
        </w:rPr>
        <w:t>operations.</w:t>
      </w:r>
    </w:p>
    <w:p w14:paraId="5E09D4D3" w14:textId="13A83503" w:rsidR="00AD65FD" w:rsidRPr="008F0D85" w:rsidRDefault="00AD65FD" w:rsidP="00D16A3F">
      <w:pPr>
        <w:pStyle w:val="Heading4"/>
        <w:rPr>
          <w:i w:val="0"/>
        </w:rPr>
      </w:pPr>
      <w:r w:rsidRPr="008F0D85">
        <w:t>Calculation methodology</w:t>
      </w:r>
    </w:p>
    <w:p w14:paraId="34027516" w14:textId="34B45A2D" w:rsidR="00B35011" w:rsidRPr="008F0D85" w:rsidRDefault="00A71F28" w:rsidP="00E325F9">
      <w:pPr>
        <w:tabs>
          <w:tab w:val="left" w:pos="4820"/>
        </w:tabs>
        <w:jc w:val="both"/>
        <w:rPr>
          <w:color w:val="44546A" w:themeColor="text2"/>
        </w:rPr>
      </w:pPr>
      <w:r w:rsidRPr="008F0D85">
        <w:rPr>
          <w:color w:val="44546A" w:themeColor="text2"/>
        </w:rPr>
        <w:t>The total</w:t>
      </w:r>
      <w:r w:rsidR="006C79A9" w:rsidRPr="008F0D85">
        <w:rPr>
          <w:color w:val="44546A" w:themeColor="text2"/>
        </w:rPr>
        <w:t xml:space="preserve"> electricity consum</w:t>
      </w:r>
      <w:r w:rsidR="0004675C" w:rsidRPr="008F0D85">
        <w:rPr>
          <w:color w:val="44546A" w:themeColor="text2"/>
        </w:rPr>
        <w:t>ption (MWh)</w:t>
      </w:r>
      <w:r w:rsidR="006C79A9" w:rsidRPr="008F0D85">
        <w:rPr>
          <w:color w:val="44546A" w:themeColor="text2"/>
        </w:rPr>
        <w:t xml:space="preserve"> across the Group is </w:t>
      </w:r>
      <w:r w:rsidR="00D3437D" w:rsidRPr="008F0D85">
        <w:rPr>
          <w:color w:val="44546A" w:themeColor="text2"/>
        </w:rPr>
        <w:t xml:space="preserve">recorded </w:t>
      </w:r>
      <w:r w:rsidR="006C79A9" w:rsidRPr="008F0D85">
        <w:rPr>
          <w:color w:val="44546A" w:themeColor="text2"/>
        </w:rPr>
        <w:t xml:space="preserve">using </w:t>
      </w:r>
      <w:r w:rsidR="008E31BB" w:rsidRPr="008F0D85">
        <w:rPr>
          <w:color w:val="44546A" w:themeColor="text2"/>
        </w:rPr>
        <w:t xml:space="preserve">meter readings across the sites and </w:t>
      </w:r>
      <w:r w:rsidR="00A837C9">
        <w:rPr>
          <w:color w:val="44546A" w:themeColor="text2"/>
        </w:rPr>
        <w:t>is checked against</w:t>
      </w:r>
      <w:r w:rsidR="00F863DE" w:rsidRPr="008F0D85">
        <w:rPr>
          <w:color w:val="44546A" w:themeColor="text2"/>
        </w:rPr>
        <w:t xml:space="preserve"> the energy supplier</w:t>
      </w:r>
      <w:r w:rsidR="00FD6A1D" w:rsidRPr="008F0D85">
        <w:rPr>
          <w:color w:val="44546A" w:themeColor="text2"/>
        </w:rPr>
        <w:t>s</w:t>
      </w:r>
      <w:r w:rsidR="00A720DB" w:rsidRPr="008F0D85">
        <w:rPr>
          <w:color w:val="44546A" w:themeColor="text2"/>
        </w:rPr>
        <w:t>’</w:t>
      </w:r>
      <w:r w:rsidR="00FD6A1D" w:rsidRPr="008F0D85">
        <w:rPr>
          <w:color w:val="44546A" w:themeColor="text2"/>
        </w:rPr>
        <w:t xml:space="preserve"> invoices</w:t>
      </w:r>
      <w:r w:rsidR="00A720DB" w:rsidRPr="008F0D85">
        <w:rPr>
          <w:color w:val="44546A" w:themeColor="text2"/>
        </w:rPr>
        <w:t>.</w:t>
      </w:r>
      <w:r w:rsidR="00FD6A1D" w:rsidRPr="008F0D85">
        <w:rPr>
          <w:color w:val="44546A" w:themeColor="text2"/>
        </w:rPr>
        <w:t xml:space="preserve"> Th</w:t>
      </w:r>
      <w:r w:rsidR="00300B65" w:rsidRPr="008F0D85">
        <w:rPr>
          <w:color w:val="44546A" w:themeColor="text2"/>
        </w:rPr>
        <w:t>e consumption value</w:t>
      </w:r>
      <w:r w:rsidR="00FD6A1D" w:rsidRPr="008F0D85">
        <w:rPr>
          <w:color w:val="44546A" w:themeColor="text2"/>
        </w:rPr>
        <w:t xml:space="preserve"> is converted into GJ </w:t>
      </w:r>
      <w:r w:rsidR="00EE5DCB" w:rsidRPr="008F0D85">
        <w:rPr>
          <w:color w:val="44546A" w:themeColor="text2"/>
        </w:rPr>
        <w:t xml:space="preserve">to calculate the total </w:t>
      </w:r>
      <w:r w:rsidR="009D5241" w:rsidRPr="008F0D85">
        <w:rPr>
          <w:color w:val="44546A" w:themeColor="text2"/>
        </w:rPr>
        <w:t>CO</w:t>
      </w:r>
      <w:r w:rsidR="009D5241" w:rsidRPr="008F0D85">
        <w:rPr>
          <w:color w:val="44546A" w:themeColor="text2"/>
          <w:vertAlign w:val="subscript"/>
        </w:rPr>
        <w:t xml:space="preserve">2 </w:t>
      </w:r>
      <w:r w:rsidR="009D5241" w:rsidRPr="008F0D85">
        <w:rPr>
          <w:color w:val="44546A" w:themeColor="text2"/>
        </w:rPr>
        <w:t>emissions</w:t>
      </w:r>
      <w:r w:rsidR="00EE5DCB" w:rsidRPr="008F0D85">
        <w:rPr>
          <w:color w:val="44546A" w:themeColor="text2"/>
        </w:rPr>
        <w:t>.</w:t>
      </w:r>
      <w:r w:rsidR="00BD4421">
        <w:rPr>
          <w:color w:val="44546A" w:themeColor="text2"/>
        </w:rPr>
        <w:t xml:space="preserve"> </w:t>
      </w:r>
      <w:r w:rsidR="00BD4421" w:rsidRPr="000A0ABE">
        <w:rPr>
          <w:color w:val="44546A" w:themeColor="text2"/>
        </w:rPr>
        <w:t xml:space="preserve">Our </w:t>
      </w:r>
      <w:r w:rsidR="00BD4421">
        <w:rPr>
          <w:color w:val="44546A" w:themeColor="text2"/>
        </w:rPr>
        <w:t>S</w:t>
      </w:r>
      <w:r w:rsidR="00BD4421" w:rsidRPr="000A0ABE">
        <w:rPr>
          <w:color w:val="44546A" w:themeColor="text2"/>
        </w:rPr>
        <w:t xml:space="preserve">cope 2 emissions </w:t>
      </w:r>
      <w:r w:rsidR="00BD4421">
        <w:rPr>
          <w:color w:val="44546A" w:themeColor="text2"/>
        </w:rPr>
        <w:t xml:space="preserve">are calculated using the </w:t>
      </w:r>
      <w:r w:rsidR="00BD4421" w:rsidRPr="000A0ABE">
        <w:rPr>
          <w:color w:val="44546A" w:themeColor="text2"/>
        </w:rPr>
        <w:t>location-based</w:t>
      </w:r>
      <w:r w:rsidR="00BD4421">
        <w:rPr>
          <w:color w:val="44546A" w:themeColor="text2"/>
        </w:rPr>
        <w:t xml:space="preserve"> method.</w:t>
      </w:r>
      <w:r w:rsidR="00C5576C">
        <w:rPr>
          <w:color w:val="44546A" w:themeColor="text2"/>
        </w:rPr>
        <w:t xml:space="preserve"> </w:t>
      </w:r>
      <w:r w:rsidR="00705253" w:rsidRPr="00705253">
        <w:rPr>
          <w:color w:val="44546A" w:themeColor="text2"/>
        </w:rPr>
        <w:t xml:space="preserve">At Sasa, all electricity comes from renewable sources, so emissions from electricity use are considered </w:t>
      </w:r>
      <w:r w:rsidR="00F5331D">
        <w:rPr>
          <w:color w:val="44546A" w:themeColor="text2"/>
        </w:rPr>
        <w:t xml:space="preserve">as </w:t>
      </w:r>
      <w:r w:rsidR="00705253" w:rsidRPr="00705253">
        <w:rPr>
          <w:color w:val="44546A" w:themeColor="text2"/>
        </w:rPr>
        <w:t>z</w:t>
      </w:r>
      <w:r w:rsidR="00F5331D">
        <w:rPr>
          <w:color w:val="44546A" w:themeColor="text2"/>
        </w:rPr>
        <w:t xml:space="preserve">ero. </w:t>
      </w:r>
      <w:r w:rsidR="00705253" w:rsidRPr="00705253">
        <w:rPr>
          <w:color w:val="44546A" w:themeColor="text2"/>
        </w:rPr>
        <w:t>At Kounrad, part of the electricity is supplied by an on-site solar panel farm, which also does not contribute to Scope 2 emissions</w:t>
      </w:r>
      <w:r w:rsidR="00AC2095">
        <w:rPr>
          <w:color w:val="44546A" w:themeColor="text2"/>
        </w:rPr>
        <w:t xml:space="preserve">. </w:t>
      </w:r>
    </w:p>
    <w:p w14:paraId="3C68452D" w14:textId="20419E30" w:rsidR="0059014A" w:rsidRPr="0063032C" w:rsidRDefault="004D1907" w:rsidP="0063032C">
      <w:pPr>
        <w:rPr>
          <w:color w:val="44546A" w:themeColor="text2"/>
          <w:szCs w:val="24"/>
        </w:rPr>
      </w:pPr>
      <w:r w:rsidRPr="0063032C" w:rsidDel="007E7B13">
        <w:rPr>
          <w:b/>
          <w:color w:val="44546A" w:themeColor="text2"/>
          <w:sz w:val="24"/>
          <w:szCs w:val="24"/>
        </w:rPr>
        <w:t xml:space="preserve">Table </w:t>
      </w:r>
      <w:r w:rsidR="00B84784" w:rsidRPr="0063032C">
        <w:rPr>
          <w:b/>
          <w:bCs/>
          <w:color w:val="44546A" w:themeColor="text2"/>
          <w:sz w:val="24"/>
          <w:szCs w:val="24"/>
        </w:rPr>
        <w:t>2</w:t>
      </w:r>
      <w:r w:rsidR="0059014A" w:rsidRPr="0063032C">
        <w:rPr>
          <w:b/>
          <w:color w:val="44546A" w:themeColor="text2"/>
          <w:sz w:val="24"/>
          <w:szCs w:val="24"/>
        </w:rPr>
        <w:t xml:space="preserve"> – Scope 2 emissions</w:t>
      </w:r>
      <w:r w:rsidR="002A6CF9">
        <w:rPr>
          <w:rStyle w:val="FootnoteReference"/>
          <w:b/>
          <w:bCs/>
          <w:color w:val="44546A" w:themeColor="text2"/>
          <w:sz w:val="24"/>
          <w:szCs w:val="24"/>
        </w:rPr>
        <w:footnoteReference w:id="3"/>
      </w:r>
    </w:p>
    <w:tbl>
      <w:tblPr>
        <w:tblW w:w="5346" w:type="pct"/>
        <w:jc w:val="center"/>
        <w:tblLook w:val="04A0" w:firstRow="1" w:lastRow="0" w:firstColumn="1" w:lastColumn="0" w:noHBand="0" w:noVBand="1"/>
      </w:tblPr>
      <w:tblGrid>
        <w:gridCol w:w="1196"/>
        <w:gridCol w:w="1000"/>
        <w:gridCol w:w="1000"/>
        <w:gridCol w:w="1000"/>
        <w:gridCol w:w="811"/>
        <w:gridCol w:w="811"/>
        <w:gridCol w:w="811"/>
        <w:gridCol w:w="1000"/>
        <w:gridCol w:w="1000"/>
        <w:gridCol w:w="1000"/>
      </w:tblGrid>
      <w:tr w:rsidR="00986A53" w:rsidRPr="00D54688" w14:paraId="1098DAE5" w14:textId="77777777" w:rsidTr="00DA35A0">
        <w:trPr>
          <w:trHeight w:val="347"/>
          <w:jc w:val="center"/>
        </w:trPr>
        <w:tc>
          <w:tcPr>
            <w:tcW w:w="1196" w:type="dxa"/>
            <w:tcBorders>
              <w:top w:val="single" w:sz="8" w:space="0" w:color="auto"/>
              <w:left w:val="single" w:sz="8" w:space="0" w:color="auto"/>
              <w:bottom w:val="single" w:sz="4" w:space="0" w:color="auto"/>
              <w:right w:val="single" w:sz="8" w:space="0" w:color="auto"/>
            </w:tcBorders>
            <w:shd w:val="clear" w:color="000000" w:fill="3E5C60"/>
            <w:vAlign w:val="center"/>
            <w:hideMark/>
          </w:tcPr>
          <w:p w14:paraId="1FD327C6" w14:textId="77777777" w:rsidR="00D54688" w:rsidRPr="0063032C" w:rsidRDefault="00D54688" w:rsidP="00D54688">
            <w:pPr>
              <w:spacing w:after="0" w:line="240" w:lineRule="auto"/>
              <w:jc w:val="both"/>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 </w:t>
            </w:r>
          </w:p>
        </w:tc>
        <w:tc>
          <w:tcPr>
            <w:tcW w:w="3000" w:type="dxa"/>
            <w:gridSpan w:val="3"/>
            <w:tcBorders>
              <w:top w:val="single" w:sz="8" w:space="0" w:color="auto"/>
              <w:left w:val="nil"/>
              <w:bottom w:val="single" w:sz="4" w:space="0" w:color="auto"/>
              <w:right w:val="single" w:sz="8" w:space="0" w:color="000000"/>
            </w:tcBorders>
            <w:shd w:val="clear" w:color="000000" w:fill="3E5C60"/>
            <w:vAlign w:val="center"/>
            <w:hideMark/>
          </w:tcPr>
          <w:p w14:paraId="02A98BFC"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Kounrad</w:t>
            </w:r>
          </w:p>
        </w:tc>
        <w:tc>
          <w:tcPr>
            <w:tcW w:w="2433" w:type="dxa"/>
            <w:gridSpan w:val="3"/>
            <w:tcBorders>
              <w:top w:val="single" w:sz="8" w:space="0" w:color="auto"/>
              <w:left w:val="nil"/>
              <w:bottom w:val="single" w:sz="4" w:space="0" w:color="auto"/>
              <w:right w:val="single" w:sz="8" w:space="0" w:color="000000"/>
            </w:tcBorders>
            <w:shd w:val="clear" w:color="000000" w:fill="3E5C60"/>
            <w:vAlign w:val="center"/>
            <w:hideMark/>
          </w:tcPr>
          <w:p w14:paraId="3D6BE6BD"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Sasa</w:t>
            </w:r>
          </w:p>
        </w:tc>
        <w:tc>
          <w:tcPr>
            <w:tcW w:w="3000" w:type="dxa"/>
            <w:gridSpan w:val="3"/>
            <w:tcBorders>
              <w:top w:val="single" w:sz="8" w:space="0" w:color="auto"/>
              <w:left w:val="nil"/>
              <w:bottom w:val="single" w:sz="4" w:space="0" w:color="auto"/>
              <w:right w:val="single" w:sz="8" w:space="0" w:color="000000"/>
            </w:tcBorders>
            <w:shd w:val="clear" w:color="000000" w:fill="3E5C60"/>
            <w:vAlign w:val="center"/>
            <w:hideMark/>
          </w:tcPr>
          <w:p w14:paraId="6F7FB03C"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Total</w:t>
            </w:r>
          </w:p>
        </w:tc>
      </w:tr>
      <w:tr w:rsidR="00107466" w:rsidRPr="00D54688" w14:paraId="690890C5" w14:textId="77777777" w:rsidTr="00107466">
        <w:trPr>
          <w:trHeight w:val="273"/>
          <w:jc w:val="center"/>
        </w:trPr>
        <w:tc>
          <w:tcPr>
            <w:tcW w:w="1196"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531248A6" w14:textId="77777777" w:rsidR="00D54688" w:rsidRPr="0063032C" w:rsidRDefault="00D54688" w:rsidP="00D54688">
            <w:pPr>
              <w:spacing w:after="0" w:line="240" w:lineRule="auto"/>
              <w:jc w:val="both"/>
              <w:rPr>
                <w:rFonts w:eastAsia="Times New Roman" w:cs="Times New Roman"/>
                <w:color w:val="FFFFFF"/>
                <w:kern w:val="0"/>
                <w:sz w:val="20"/>
                <w:szCs w:val="20"/>
                <w:lang w:eastAsia="en-GB"/>
                <w14:ligatures w14:val="none"/>
              </w:rPr>
            </w:pPr>
            <w:r w:rsidRPr="0063032C">
              <w:rPr>
                <w:rFonts w:eastAsia="Times New Roman" w:cs="Times New Roman"/>
                <w:color w:val="FFFFFF" w:themeColor="background1"/>
                <w:kern w:val="0"/>
                <w:sz w:val="20"/>
                <w:szCs w:val="20"/>
                <w:lang w:eastAsia="en-GB"/>
                <w14:ligatures w14:val="none"/>
              </w:rPr>
              <w:t> </w:t>
            </w:r>
          </w:p>
        </w:tc>
        <w:tc>
          <w:tcPr>
            <w:tcW w:w="1000"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7F79F0C0"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kern w:val="0"/>
                <w:sz w:val="20"/>
                <w:szCs w:val="20"/>
                <w:lang w:eastAsia="en-GB"/>
                <w14:ligatures w14:val="none"/>
              </w:rPr>
              <w:t>2024</w:t>
            </w:r>
          </w:p>
        </w:tc>
        <w:tc>
          <w:tcPr>
            <w:tcW w:w="1000"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0415FDE6"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2023</w:t>
            </w:r>
          </w:p>
        </w:tc>
        <w:tc>
          <w:tcPr>
            <w:tcW w:w="1000"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5ABA15AD"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2022</w:t>
            </w:r>
          </w:p>
        </w:tc>
        <w:tc>
          <w:tcPr>
            <w:tcW w:w="811"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2FDE85BC"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kern w:val="0"/>
                <w:sz w:val="20"/>
                <w:szCs w:val="20"/>
                <w:lang w:eastAsia="en-GB"/>
                <w14:ligatures w14:val="none"/>
              </w:rPr>
              <w:t>2024</w:t>
            </w:r>
          </w:p>
        </w:tc>
        <w:tc>
          <w:tcPr>
            <w:tcW w:w="811"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06BD48C1"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2023</w:t>
            </w:r>
          </w:p>
        </w:tc>
        <w:tc>
          <w:tcPr>
            <w:tcW w:w="811"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269CC438"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2022</w:t>
            </w:r>
          </w:p>
        </w:tc>
        <w:tc>
          <w:tcPr>
            <w:tcW w:w="1000"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67206358"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kern w:val="0"/>
                <w:sz w:val="20"/>
                <w:szCs w:val="20"/>
                <w:lang w:eastAsia="en-GB"/>
                <w14:ligatures w14:val="none"/>
              </w:rPr>
              <w:t>2024</w:t>
            </w:r>
          </w:p>
        </w:tc>
        <w:tc>
          <w:tcPr>
            <w:tcW w:w="1000"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6090205A"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2023</w:t>
            </w:r>
          </w:p>
        </w:tc>
        <w:tc>
          <w:tcPr>
            <w:tcW w:w="1000"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1436006E"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2022</w:t>
            </w:r>
          </w:p>
        </w:tc>
      </w:tr>
      <w:tr w:rsidR="00107466" w:rsidRPr="00D54688" w14:paraId="45638D55" w14:textId="77777777" w:rsidTr="00107466">
        <w:trPr>
          <w:trHeight w:val="405"/>
          <w:jc w:val="center"/>
        </w:trPr>
        <w:tc>
          <w:tcPr>
            <w:tcW w:w="1196"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04BBDD03" w14:textId="77777777" w:rsidR="00D54688" w:rsidRPr="0063032C" w:rsidRDefault="00D54688" w:rsidP="00D54688">
            <w:pPr>
              <w:spacing w:after="0" w:line="240" w:lineRule="auto"/>
              <w:jc w:val="both"/>
              <w:rPr>
                <w:rFonts w:eastAsia="Times New Roman" w:cs="Times New Roman"/>
                <w:color w:val="FFFFFF"/>
                <w:kern w:val="0"/>
                <w:sz w:val="20"/>
                <w:szCs w:val="20"/>
                <w:lang w:eastAsia="en-GB"/>
                <w14:ligatures w14:val="none"/>
              </w:rPr>
            </w:pPr>
            <w:r w:rsidRPr="0063032C">
              <w:rPr>
                <w:rFonts w:eastAsia="Times New Roman" w:cs="Times New Roman"/>
                <w:color w:val="FFFFFF" w:themeColor="background1"/>
                <w:kern w:val="0"/>
                <w:sz w:val="20"/>
                <w:szCs w:val="20"/>
                <w:lang w:eastAsia="en-GB"/>
                <w14:ligatures w14:val="none"/>
              </w:rPr>
              <w:t> </w:t>
            </w:r>
          </w:p>
        </w:tc>
        <w:tc>
          <w:tcPr>
            <w:tcW w:w="1000"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361A6F1E"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1000"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2F25A020"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1000"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517CB760"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811"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3893D037"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811"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19A7AEDE"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811"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50EC28CE"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1000"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0EE63C7B"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1000"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31AB05C3"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c>
          <w:tcPr>
            <w:tcW w:w="1000" w:type="dxa"/>
            <w:tcBorders>
              <w:top w:val="single" w:sz="4" w:space="0" w:color="auto"/>
              <w:left w:val="single" w:sz="4" w:space="0" w:color="auto"/>
              <w:bottom w:val="single" w:sz="4" w:space="0" w:color="auto"/>
              <w:right w:val="single" w:sz="4" w:space="0" w:color="auto"/>
            </w:tcBorders>
            <w:shd w:val="clear" w:color="000000" w:fill="3E5C60"/>
            <w:vAlign w:val="center"/>
            <w:hideMark/>
          </w:tcPr>
          <w:p w14:paraId="0908E3D5" w14:textId="77777777" w:rsidR="00D54688" w:rsidRPr="0063032C" w:rsidRDefault="00D54688" w:rsidP="00D54688">
            <w:pPr>
              <w:spacing w:after="0" w:line="240" w:lineRule="auto"/>
              <w:jc w:val="center"/>
              <w:rPr>
                <w:rFonts w:eastAsia="Times New Roman" w:cs="Times New Roman"/>
                <w:b/>
                <w:color w:val="FFFFFF"/>
                <w:kern w:val="0"/>
                <w:sz w:val="20"/>
                <w:szCs w:val="20"/>
                <w:lang w:eastAsia="en-GB"/>
                <w14:ligatures w14:val="none"/>
              </w:rPr>
            </w:pPr>
            <w:r w:rsidRPr="0063032C">
              <w:rPr>
                <w:rFonts w:eastAsia="Times New Roman" w:cs="Times New Roman"/>
                <w:b/>
                <w:color w:val="FFFFFF" w:themeColor="background1"/>
                <w:kern w:val="0"/>
                <w:sz w:val="20"/>
                <w:szCs w:val="20"/>
                <w:lang w:eastAsia="en-GB"/>
                <w14:ligatures w14:val="none"/>
              </w:rPr>
              <w:t>tCO</w:t>
            </w:r>
            <w:r w:rsidRPr="0063032C">
              <w:rPr>
                <w:rFonts w:eastAsia="Times New Roman" w:cs="Times New Roman"/>
                <w:b/>
                <w:color w:val="FFFFFF"/>
                <w:kern w:val="0"/>
                <w:sz w:val="20"/>
                <w:szCs w:val="20"/>
                <w:vertAlign w:val="subscript"/>
                <w:lang w:eastAsia="en-GB"/>
                <w14:ligatures w14:val="none"/>
              </w:rPr>
              <w:t>2</w:t>
            </w:r>
            <w:r w:rsidRPr="0063032C">
              <w:rPr>
                <w:rFonts w:eastAsia="Times New Roman" w:cs="Times New Roman"/>
                <w:b/>
                <w:color w:val="FFFFFF"/>
                <w:kern w:val="0"/>
                <w:sz w:val="20"/>
                <w:szCs w:val="20"/>
                <w:lang w:eastAsia="en-GB"/>
                <w14:ligatures w14:val="none"/>
              </w:rPr>
              <w:t>-e</w:t>
            </w:r>
          </w:p>
        </w:tc>
      </w:tr>
      <w:tr w:rsidR="00107466" w:rsidRPr="00D54688" w14:paraId="3FB247F6" w14:textId="77777777" w:rsidTr="00107466">
        <w:trPr>
          <w:trHeight w:val="323"/>
          <w:jc w:val="center"/>
        </w:trPr>
        <w:tc>
          <w:tcPr>
            <w:tcW w:w="1196" w:type="dxa"/>
            <w:tcBorders>
              <w:top w:val="single" w:sz="4" w:space="0" w:color="auto"/>
              <w:left w:val="single" w:sz="4" w:space="0" w:color="auto"/>
              <w:bottom w:val="single" w:sz="4" w:space="0" w:color="auto"/>
              <w:right w:val="single" w:sz="4" w:space="0" w:color="auto"/>
            </w:tcBorders>
            <w:vAlign w:val="center"/>
            <w:hideMark/>
          </w:tcPr>
          <w:p w14:paraId="6912D723" w14:textId="77777777" w:rsidR="00D54688" w:rsidRPr="0063032C" w:rsidRDefault="00D54688" w:rsidP="00D54688">
            <w:pPr>
              <w:spacing w:after="0" w:line="240" w:lineRule="auto"/>
              <w:jc w:val="both"/>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Electricity</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43A86" w14:textId="77777777" w:rsidR="00D54688" w:rsidRPr="0063032C" w:rsidRDefault="00D54688" w:rsidP="00D5468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kern w:val="0"/>
                <w:sz w:val="20"/>
                <w:szCs w:val="20"/>
                <w:lang w:eastAsia="en-GB"/>
                <w14:ligatures w14:val="none"/>
              </w:rPr>
              <w:t>30,985</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5F43A" w14:textId="77777777" w:rsidR="00D54688" w:rsidRPr="0063032C" w:rsidRDefault="00D54688" w:rsidP="00D5468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35,669</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75533" w14:textId="77777777" w:rsidR="00D54688" w:rsidRPr="0063032C" w:rsidRDefault="00D54688" w:rsidP="00D54688">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37,031</w:t>
            </w:r>
          </w:p>
        </w:tc>
        <w:tc>
          <w:tcPr>
            <w:tcW w:w="811" w:type="dxa"/>
            <w:tcBorders>
              <w:top w:val="single" w:sz="4" w:space="0" w:color="auto"/>
              <w:left w:val="single" w:sz="4" w:space="0" w:color="auto"/>
              <w:bottom w:val="single" w:sz="4" w:space="0" w:color="auto"/>
              <w:right w:val="single" w:sz="4" w:space="0" w:color="auto"/>
            </w:tcBorders>
            <w:vAlign w:val="center"/>
            <w:hideMark/>
          </w:tcPr>
          <w:p w14:paraId="555C5061" w14:textId="409C65CA" w:rsidR="00D54688" w:rsidRPr="0063032C" w:rsidRDefault="00D54688" w:rsidP="00107466">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518484AF" w14:textId="6B90B991" w:rsidR="00D54688" w:rsidRPr="0063032C" w:rsidRDefault="00D54688" w:rsidP="00107466">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63E3198B" w14:textId="724DE01A" w:rsidR="00D54688" w:rsidRPr="0063032C" w:rsidRDefault="00D54688" w:rsidP="00107466">
            <w:pPr>
              <w:spacing w:after="0" w:line="240" w:lineRule="auto"/>
              <w:jc w:val="center"/>
              <w:rPr>
                <w:rFonts w:eastAsia="Times New Roman" w:cs="Times New Roman"/>
                <w:color w:val="44546A"/>
                <w:kern w:val="0"/>
                <w:sz w:val="20"/>
                <w:szCs w:val="20"/>
                <w:lang w:eastAsia="en-GB"/>
                <w14:ligatures w14:val="none"/>
              </w:rPr>
            </w:pPr>
            <w:r w:rsidRPr="0063032C">
              <w:rPr>
                <w:rFonts w:eastAsia="Times New Roman" w:cs="Times New Roman"/>
                <w:color w:val="44546A" w:themeColor="text2"/>
                <w:kern w:val="0"/>
                <w:sz w:val="20"/>
                <w:szCs w:val="20"/>
                <w:lang w:eastAsia="en-GB"/>
                <w14:ligatures w14:val="none"/>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A57DFE3" w14:textId="77777777" w:rsidR="00D54688" w:rsidRPr="0063032C" w:rsidRDefault="00D54688" w:rsidP="00D5468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kern w:val="0"/>
                <w:sz w:val="20"/>
                <w:szCs w:val="20"/>
                <w:lang w:eastAsia="en-GB"/>
                <w14:ligatures w14:val="none"/>
              </w:rPr>
              <w:t>30,985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834BAA4" w14:textId="77777777" w:rsidR="00D54688" w:rsidRPr="0063032C" w:rsidRDefault="00D54688" w:rsidP="00D5468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kern w:val="0"/>
                <w:sz w:val="20"/>
                <w:szCs w:val="20"/>
                <w:lang w:eastAsia="en-GB"/>
                <w14:ligatures w14:val="none"/>
              </w:rPr>
              <w:t>35,669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9E901BD" w14:textId="77777777" w:rsidR="00D54688" w:rsidRPr="0063032C" w:rsidRDefault="00D54688" w:rsidP="00D5468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kern w:val="0"/>
                <w:sz w:val="20"/>
                <w:szCs w:val="20"/>
                <w:lang w:eastAsia="en-GB"/>
                <w14:ligatures w14:val="none"/>
              </w:rPr>
              <w:t>37,031</w:t>
            </w:r>
          </w:p>
        </w:tc>
      </w:tr>
      <w:tr w:rsidR="00107466" w:rsidRPr="00D54688" w14:paraId="4C517FA9" w14:textId="77777777" w:rsidTr="00107466">
        <w:trPr>
          <w:trHeight w:val="387"/>
          <w:jc w:val="center"/>
        </w:trPr>
        <w:tc>
          <w:tcPr>
            <w:tcW w:w="1196" w:type="dxa"/>
            <w:tcBorders>
              <w:top w:val="single" w:sz="4" w:space="0" w:color="auto"/>
              <w:left w:val="single" w:sz="4" w:space="0" w:color="auto"/>
              <w:bottom w:val="single" w:sz="4" w:space="0" w:color="auto"/>
              <w:right w:val="single" w:sz="4" w:space="0" w:color="auto"/>
            </w:tcBorders>
            <w:vAlign w:val="center"/>
            <w:hideMark/>
          </w:tcPr>
          <w:p w14:paraId="74B2E97E" w14:textId="77777777" w:rsidR="00D54688" w:rsidRPr="0063032C" w:rsidRDefault="00D54688" w:rsidP="00D54688">
            <w:pPr>
              <w:spacing w:after="0" w:line="240" w:lineRule="auto"/>
              <w:jc w:val="both"/>
              <w:rPr>
                <w:rFonts w:eastAsia="Times New Roman" w:cs="Times New Roman"/>
                <w:b/>
                <w:color w:val="44546A"/>
                <w:kern w:val="0"/>
                <w:sz w:val="20"/>
                <w:szCs w:val="20"/>
                <w:lang w:eastAsia="en-GB"/>
                <w14:ligatures w14:val="none"/>
              </w:rPr>
            </w:pPr>
            <w:r w:rsidRPr="0063032C">
              <w:rPr>
                <w:rFonts w:eastAsia="Times New Roman" w:cs="Times New Roman"/>
                <w:b/>
                <w:color w:val="44546A" w:themeColor="text2"/>
                <w:kern w:val="0"/>
                <w:sz w:val="20"/>
                <w:szCs w:val="20"/>
                <w:lang w:eastAsia="en-GB"/>
                <w14:ligatures w14:val="none"/>
              </w:rPr>
              <w:t>Total</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486FB" w14:textId="77777777" w:rsidR="00D54688" w:rsidRPr="0063032C" w:rsidRDefault="00D54688" w:rsidP="00D5468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kern w:val="0"/>
                <w:sz w:val="20"/>
                <w:szCs w:val="20"/>
                <w:lang w:eastAsia="en-GB"/>
                <w14:ligatures w14:val="none"/>
              </w:rPr>
              <w:t>30,985</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AF691" w14:textId="77777777" w:rsidR="00D54688" w:rsidRPr="0063032C" w:rsidRDefault="00D54688" w:rsidP="00D5468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themeColor="text2"/>
                <w:kern w:val="0"/>
                <w:sz w:val="20"/>
                <w:szCs w:val="20"/>
                <w:lang w:eastAsia="en-GB"/>
                <w14:ligatures w14:val="none"/>
              </w:rPr>
              <w:t>35,669</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1F909" w14:textId="77777777" w:rsidR="00D54688" w:rsidRPr="0063032C" w:rsidRDefault="00D54688" w:rsidP="00D5468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themeColor="text2"/>
                <w:kern w:val="0"/>
                <w:sz w:val="20"/>
                <w:szCs w:val="20"/>
                <w:lang w:eastAsia="en-GB"/>
                <w14:ligatures w14:val="none"/>
              </w:rPr>
              <w:t>37,031</w:t>
            </w:r>
          </w:p>
        </w:tc>
        <w:tc>
          <w:tcPr>
            <w:tcW w:w="811" w:type="dxa"/>
            <w:tcBorders>
              <w:top w:val="single" w:sz="4" w:space="0" w:color="auto"/>
              <w:left w:val="single" w:sz="4" w:space="0" w:color="auto"/>
              <w:bottom w:val="single" w:sz="4" w:space="0" w:color="auto"/>
              <w:right w:val="single" w:sz="4" w:space="0" w:color="auto"/>
            </w:tcBorders>
            <w:vAlign w:val="center"/>
            <w:hideMark/>
          </w:tcPr>
          <w:p w14:paraId="0F7B9860" w14:textId="50D1575B" w:rsidR="00D54688" w:rsidRPr="0063032C" w:rsidRDefault="00D54688" w:rsidP="00107466">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themeColor="text2"/>
                <w:kern w:val="0"/>
                <w:sz w:val="20"/>
                <w:szCs w:val="20"/>
                <w:lang w:eastAsia="en-GB"/>
                <w14:ligatures w14:val="none"/>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13916701" w14:textId="501E9E13" w:rsidR="00D54688" w:rsidRPr="0063032C" w:rsidRDefault="00D54688" w:rsidP="00107466">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themeColor="text2"/>
                <w:kern w:val="0"/>
                <w:sz w:val="20"/>
                <w:szCs w:val="20"/>
                <w:lang w:eastAsia="en-GB"/>
                <w14:ligatures w14:val="none"/>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4C2959D2" w14:textId="2AB0CEE9" w:rsidR="00D54688" w:rsidRPr="0063032C" w:rsidRDefault="00D54688" w:rsidP="00107466">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themeColor="text2"/>
                <w:kern w:val="0"/>
                <w:sz w:val="20"/>
                <w:szCs w:val="20"/>
                <w:lang w:eastAsia="en-GB"/>
                <w14:ligatures w14:val="none"/>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9679990" w14:textId="77777777" w:rsidR="00D54688" w:rsidRPr="0063032C" w:rsidRDefault="00D54688" w:rsidP="00D5468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themeColor="text2"/>
                <w:kern w:val="0"/>
                <w:sz w:val="20"/>
                <w:szCs w:val="20"/>
                <w:lang w:eastAsia="en-GB"/>
                <w14:ligatures w14:val="none"/>
              </w:rPr>
              <w:t>30985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67B2611" w14:textId="77777777" w:rsidR="00D54688" w:rsidRPr="0063032C" w:rsidRDefault="00D54688" w:rsidP="00D5468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themeColor="text2"/>
                <w:kern w:val="0"/>
                <w:sz w:val="20"/>
                <w:szCs w:val="20"/>
                <w:lang w:eastAsia="en-GB"/>
                <w14:ligatures w14:val="none"/>
              </w:rPr>
              <w:t>35,669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D704492" w14:textId="77777777" w:rsidR="00D54688" w:rsidRPr="0063032C" w:rsidRDefault="00D54688" w:rsidP="00D54688">
            <w:pPr>
              <w:spacing w:after="0" w:line="240" w:lineRule="auto"/>
              <w:jc w:val="center"/>
              <w:rPr>
                <w:rFonts w:eastAsia="Times New Roman" w:cs="Times New Roman"/>
                <w:b/>
                <w:color w:val="44546A"/>
                <w:kern w:val="0"/>
                <w:sz w:val="20"/>
                <w:szCs w:val="20"/>
                <w:lang w:eastAsia="en-GB"/>
                <w14:ligatures w14:val="none"/>
              </w:rPr>
            </w:pPr>
            <w:r w:rsidRPr="0063032C">
              <w:rPr>
                <w:rFonts w:eastAsia="Times New Roman" w:cs="Times New Roman"/>
                <w:b/>
                <w:color w:val="44546A" w:themeColor="text2"/>
                <w:kern w:val="0"/>
                <w:sz w:val="20"/>
                <w:szCs w:val="20"/>
                <w:lang w:eastAsia="en-GB"/>
                <w14:ligatures w14:val="none"/>
              </w:rPr>
              <w:t>37,031</w:t>
            </w:r>
          </w:p>
        </w:tc>
      </w:tr>
    </w:tbl>
    <w:p w14:paraId="3B3FB1C6" w14:textId="1D08D258" w:rsidR="00832ED1" w:rsidRPr="001637D7" w:rsidRDefault="00832ED1" w:rsidP="000705EC">
      <w:pPr>
        <w:pStyle w:val="Heading1"/>
      </w:pPr>
      <w:bookmarkStart w:id="6" w:name="_Toc194670364"/>
      <w:r w:rsidRPr="001637D7">
        <w:lastRenderedPageBreak/>
        <w:t>CAML’s Scope 3:</w:t>
      </w:r>
      <w:r w:rsidR="00DC11C7">
        <w:t xml:space="preserve"> m</w:t>
      </w:r>
      <w:r w:rsidRPr="001637D7">
        <w:t xml:space="preserve">ethodology </w:t>
      </w:r>
      <w:r w:rsidR="00DC11C7">
        <w:t>and s</w:t>
      </w:r>
      <w:r w:rsidR="00D0753E" w:rsidRPr="001637D7">
        <w:t>ummary</w:t>
      </w:r>
      <w:bookmarkEnd w:id="6"/>
      <w:r w:rsidR="00D0753E" w:rsidRPr="001637D7">
        <w:t xml:space="preserve"> </w:t>
      </w:r>
    </w:p>
    <w:p w14:paraId="4466A267" w14:textId="77777777" w:rsidR="00F53B13" w:rsidRPr="008F0D85" w:rsidRDefault="00F53B13" w:rsidP="001637D7">
      <w:pPr>
        <w:pStyle w:val="Heading2"/>
      </w:pPr>
      <w:bookmarkStart w:id="7" w:name="_Toc194670365"/>
      <w:r w:rsidRPr="008F0D85">
        <w:t>Scope 3</w:t>
      </w:r>
      <w:bookmarkEnd w:id="7"/>
      <w:r w:rsidRPr="008F0D85">
        <w:t xml:space="preserve"> </w:t>
      </w:r>
    </w:p>
    <w:p w14:paraId="69A5487F" w14:textId="77777777" w:rsidR="00835500" w:rsidRDefault="00835500" w:rsidP="00C93BB2">
      <w:pPr>
        <w:pStyle w:val="Heading4"/>
      </w:pPr>
    </w:p>
    <w:p w14:paraId="6616B119" w14:textId="1543EB44" w:rsidR="00F53B13" w:rsidRPr="00835500" w:rsidRDefault="00F53B13" w:rsidP="00835500">
      <w:pPr>
        <w:pStyle w:val="Heading2"/>
      </w:pPr>
      <w:bookmarkStart w:id="8" w:name="_Toc194670366"/>
      <w:r w:rsidRPr="008F0D85">
        <w:t>Definition</w:t>
      </w:r>
      <w:bookmarkEnd w:id="8"/>
    </w:p>
    <w:p w14:paraId="147B0215" w14:textId="35E83E57" w:rsidR="00D25FB6" w:rsidRPr="00C10394" w:rsidRDefault="003C6A7F" w:rsidP="00987E29">
      <w:pPr>
        <w:tabs>
          <w:tab w:val="left" w:pos="4820"/>
        </w:tabs>
        <w:jc w:val="both"/>
        <w:rPr>
          <w:color w:val="44546A" w:themeColor="text2"/>
        </w:rPr>
      </w:pPr>
      <w:r w:rsidRPr="008F0D85">
        <w:rPr>
          <w:color w:val="44546A" w:themeColor="text2"/>
        </w:rPr>
        <w:t xml:space="preserve">Indirect GHG emissions that occur in the value chain of a company but are not directly owned or controlled by that company. </w:t>
      </w:r>
      <w:r w:rsidR="002C1BE5" w:rsidRPr="008F0D85">
        <w:rPr>
          <w:color w:val="44546A" w:themeColor="text2"/>
        </w:rPr>
        <w:t>These</w:t>
      </w:r>
      <w:r w:rsidRPr="008F0D85">
        <w:rPr>
          <w:color w:val="44546A" w:themeColor="text2"/>
        </w:rPr>
        <w:t xml:space="preserve"> encompass all indirect emissions associated with its operations</w:t>
      </w:r>
      <w:r w:rsidR="00CD6D06" w:rsidRPr="008F0D85">
        <w:rPr>
          <w:color w:val="44546A" w:themeColor="text2"/>
        </w:rPr>
        <w:t xml:space="preserve"> in its upstream and downstream </w:t>
      </w:r>
      <w:r w:rsidR="00CD6D06" w:rsidRPr="00C10394">
        <w:rPr>
          <w:color w:val="44546A" w:themeColor="text2"/>
        </w:rPr>
        <w:t xml:space="preserve">activities. </w:t>
      </w:r>
    </w:p>
    <w:p w14:paraId="30E552C8" w14:textId="35C0A4C2" w:rsidR="00D25FB6" w:rsidRPr="008F0D85" w:rsidRDefault="00301A7B" w:rsidP="00987E29">
      <w:pPr>
        <w:tabs>
          <w:tab w:val="left" w:pos="4820"/>
        </w:tabs>
        <w:jc w:val="both"/>
        <w:rPr>
          <w:color w:val="44546A" w:themeColor="text2"/>
        </w:rPr>
      </w:pPr>
      <w:r w:rsidRPr="00C10394">
        <w:rPr>
          <w:color w:val="44546A" w:themeColor="text2"/>
        </w:rPr>
        <w:t xml:space="preserve">In 2024, CAML completed its </w:t>
      </w:r>
      <w:r w:rsidR="00D7585F">
        <w:rPr>
          <w:color w:val="44546A" w:themeColor="text2"/>
        </w:rPr>
        <w:t>third</w:t>
      </w:r>
      <w:r w:rsidRPr="00C10394">
        <w:rPr>
          <w:color w:val="44546A" w:themeColor="text2"/>
        </w:rPr>
        <w:t xml:space="preserve"> assessment of Scope 3 emissions across the group, covering data from January 1, 2024, to </w:t>
      </w:r>
      <w:r w:rsidR="00E77235">
        <w:rPr>
          <w:color w:val="44546A" w:themeColor="text2"/>
        </w:rPr>
        <w:t>December</w:t>
      </w:r>
      <w:r w:rsidRPr="00C10394">
        <w:rPr>
          <w:color w:val="44546A" w:themeColor="text2"/>
        </w:rPr>
        <w:t xml:space="preserve"> 31, 2024</w:t>
      </w:r>
      <w:r w:rsidR="00CF389A" w:rsidRPr="00C10394">
        <w:rPr>
          <w:color w:val="44546A" w:themeColor="text2"/>
        </w:rPr>
        <w:t xml:space="preserve">. </w:t>
      </w:r>
      <w:r w:rsidR="00E16265" w:rsidRPr="00C10394">
        <w:rPr>
          <w:color w:val="44546A" w:themeColor="text2"/>
        </w:rPr>
        <w:t>This Methodology Report outlines the Scope 3 assessment</w:t>
      </w:r>
      <w:r w:rsidR="00F11BB2">
        <w:rPr>
          <w:color w:val="44546A" w:themeColor="text2"/>
        </w:rPr>
        <w:t xml:space="preserve"> approach</w:t>
      </w:r>
      <w:r w:rsidR="009F7672">
        <w:rPr>
          <w:color w:val="44546A" w:themeColor="text2"/>
        </w:rPr>
        <w:t xml:space="preserve"> for 2024, including</w:t>
      </w:r>
      <w:r w:rsidR="00BB15DE" w:rsidRPr="00BB15DE">
        <w:rPr>
          <w:color w:val="44546A" w:themeColor="text2"/>
        </w:rPr>
        <w:t xml:space="preserve"> </w:t>
      </w:r>
      <w:r w:rsidR="009F7672" w:rsidRPr="009F7672">
        <w:rPr>
          <w:color w:val="44546A" w:themeColor="text2"/>
        </w:rPr>
        <w:t>key accounting assumptions, supporting literature, and defined organisational and accounting boundaries. It also details the data sources and references used to estimate emissions from</w:t>
      </w:r>
      <w:r w:rsidR="00BB15DE" w:rsidRPr="00BB15DE">
        <w:rPr>
          <w:color w:val="44546A" w:themeColor="text2"/>
        </w:rPr>
        <w:t xml:space="preserve"> </w:t>
      </w:r>
      <w:r w:rsidR="00E16265" w:rsidRPr="00E16265">
        <w:rPr>
          <w:color w:val="44546A" w:themeColor="text2"/>
        </w:rPr>
        <w:t>CAML's activities</w:t>
      </w:r>
      <w:r w:rsidR="00CF389A" w:rsidRPr="008F0D85">
        <w:rPr>
          <w:color w:val="44546A" w:themeColor="text2"/>
        </w:rPr>
        <w:t>. The Scope 3 emissions assessment results presented in this report are part of our ongoing commitment to align with the TCFD</w:t>
      </w:r>
      <w:r w:rsidR="00B55175" w:rsidRPr="008F0D85">
        <w:rPr>
          <w:color w:val="44546A" w:themeColor="text2"/>
        </w:rPr>
        <w:t xml:space="preserve"> </w:t>
      </w:r>
      <w:r w:rsidR="00CF389A" w:rsidRPr="008F0D85">
        <w:rPr>
          <w:color w:val="44546A" w:themeColor="text2"/>
        </w:rPr>
        <w:t>recommendations, demonstrating transparency in communicating our strategy for evaluating and managing climate-related risks and opportunities.</w:t>
      </w:r>
    </w:p>
    <w:p w14:paraId="28D4EE3C" w14:textId="77777777" w:rsidR="006553E4" w:rsidRPr="006553E4" w:rsidRDefault="006553E4" w:rsidP="006553E4">
      <w:pPr>
        <w:tabs>
          <w:tab w:val="left" w:pos="4820"/>
        </w:tabs>
        <w:jc w:val="both"/>
        <w:rPr>
          <w:color w:val="44546A" w:themeColor="text2"/>
        </w:rPr>
      </w:pPr>
      <w:r w:rsidRPr="006553E4">
        <w:rPr>
          <w:color w:val="44546A" w:themeColor="text2"/>
        </w:rPr>
        <w:t>Our 2024 methodology builds on the Greenhouse Gas Protocol’s Scope 3 guidance. We have introduced a more accurate emissions database and applied refined, category-specific assumptions to enhance data quality and calculation precision. While the core methodology remains unchanged, updated emission factors have significantly improved reporting accuracy.</w:t>
      </w:r>
    </w:p>
    <w:p w14:paraId="31396851" w14:textId="2706DF57" w:rsidR="006553E4" w:rsidRDefault="006553E4" w:rsidP="006553E4">
      <w:pPr>
        <w:tabs>
          <w:tab w:val="left" w:pos="4820"/>
        </w:tabs>
        <w:jc w:val="both"/>
        <w:rPr>
          <w:color w:val="44546A" w:themeColor="text2"/>
        </w:rPr>
      </w:pPr>
      <w:r w:rsidRPr="006553E4">
        <w:rPr>
          <w:color w:val="44546A" w:themeColor="text2"/>
        </w:rPr>
        <w:t xml:space="preserve">CAML captures emissions across eleven of the fifteen categories, excluding those assessed as not material to the business. Notably, </w:t>
      </w:r>
      <w:r w:rsidR="00151960">
        <w:rPr>
          <w:color w:val="44546A" w:themeColor="text2"/>
        </w:rPr>
        <w:t xml:space="preserve">to enhance transparency, </w:t>
      </w:r>
      <w:r w:rsidRPr="006553E4">
        <w:rPr>
          <w:color w:val="44546A" w:themeColor="text2"/>
        </w:rPr>
        <w:t xml:space="preserve">we </w:t>
      </w:r>
      <w:r w:rsidR="000D67F3">
        <w:rPr>
          <w:color w:val="44546A" w:themeColor="text2"/>
        </w:rPr>
        <w:t>also</w:t>
      </w:r>
      <w:r w:rsidRPr="006553E4">
        <w:rPr>
          <w:color w:val="44546A" w:themeColor="text2"/>
        </w:rPr>
        <w:t xml:space="preserve"> include categories 11 and </w:t>
      </w:r>
      <w:proofErr w:type="gramStart"/>
      <w:r w:rsidRPr="006553E4">
        <w:rPr>
          <w:color w:val="44546A" w:themeColor="text2"/>
        </w:rPr>
        <w:t>12  covering</w:t>
      </w:r>
      <w:proofErr w:type="gramEnd"/>
      <w:r w:rsidRPr="006553E4">
        <w:rPr>
          <w:color w:val="44546A" w:themeColor="text2"/>
        </w:rPr>
        <w:t xml:space="preserve"> additional downstream activities outside of our </w:t>
      </w:r>
      <w:proofErr w:type="gramStart"/>
      <w:r w:rsidRPr="006553E4">
        <w:rPr>
          <w:color w:val="44546A" w:themeColor="text2"/>
        </w:rPr>
        <w:t>control ,</w:t>
      </w:r>
      <w:proofErr w:type="gramEnd"/>
      <w:r w:rsidRPr="006553E4">
        <w:rPr>
          <w:color w:val="44546A" w:themeColor="text2"/>
        </w:rPr>
        <w:t xml:space="preserve"> which are not typically reported by our peers. Given the inherent variation in data and approaches, comparisons between companies remain</w:t>
      </w:r>
      <w:r w:rsidR="005152D8">
        <w:rPr>
          <w:color w:val="44546A" w:themeColor="text2"/>
        </w:rPr>
        <w:t>s</w:t>
      </w:r>
      <w:r w:rsidRPr="006553E4">
        <w:rPr>
          <w:color w:val="44546A" w:themeColor="text2"/>
        </w:rPr>
        <w:t xml:space="preserve"> limited. Our focus remains on producing decision-useful insights tailored to our operations and impact areas.</w:t>
      </w:r>
    </w:p>
    <w:p w14:paraId="7541A0B1" w14:textId="77777777" w:rsidR="00835500" w:rsidRDefault="00835500" w:rsidP="006553E4">
      <w:pPr>
        <w:tabs>
          <w:tab w:val="left" w:pos="4820"/>
        </w:tabs>
        <w:jc w:val="both"/>
        <w:rPr>
          <w:color w:val="44546A" w:themeColor="text2"/>
        </w:rPr>
      </w:pPr>
    </w:p>
    <w:p w14:paraId="75CF86B1" w14:textId="77777777" w:rsidR="00E74DA1" w:rsidRPr="00987E29" w:rsidRDefault="00E74DA1" w:rsidP="00987E29">
      <w:pPr>
        <w:pStyle w:val="Heading2"/>
      </w:pPr>
      <w:bookmarkStart w:id="9" w:name="_Toc194670367"/>
      <w:r w:rsidRPr="00987E29">
        <w:t>Approach</w:t>
      </w:r>
      <w:bookmarkEnd w:id="9"/>
    </w:p>
    <w:p w14:paraId="356F1DE0" w14:textId="00B1662E" w:rsidR="00E74DA1" w:rsidRPr="008F0D85" w:rsidRDefault="00E74DA1" w:rsidP="00E74DA1">
      <w:pPr>
        <w:tabs>
          <w:tab w:val="left" w:pos="4820"/>
        </w:tabs>
        <w:jc w:val="both"/>
        <w:rPr>
          <w:color w:val="44546A" w:themeColor="text2"/>
        </w:rPr>
      </w:pPr>
      <w:r w:rsidRPr="008F0D85">
        <w:rPr>
          <w:color w:val="44546A" w:themeColor="text2"/>
        </w:rPr>
        <w:t xml:space="preserve">The Methodology Report follows the guidelines set by </w:t>
      </w:r>
      <w:r w:rsidR="007A5CB9" w:rsidRPr="008F0D85">
        <w:rPr>
          <w:color w:val="44546A" w:themeColor="text2"/>
        </w:rPr>
        <w:t xml:space="preserve">World Business Council </w:t>
      </w:r>
      <w:r w:rsidR="00F723A7" w:rsidRPr="008F0D85">
        <w:rPr>
          <w:color w:val="44546A" w:themeColor="text2"/>
        </w:rPr>
        <w:t>Sustainable Development (</w:t>
      </w:r>
      <w:r w:rsidRPr="008F0D85">
        <w:rPr>
          <w:color w:val="44546A" w:themeColor="text2"/>
        </w:rPr>
        <w:t>WBCSD</w:t>
      </w:r>
      <w:r w:rsidR="00F723A7" w:rsidRPr="008F0D85">
        <w:rPr>
          <w:color w:val="44546A" w:themeColor="text2"/>
        </w:rPr>
        <w:t>)</w:t>
      </w:r>
      <w:r w:rsidRPr="008F0D85">
        <w:rPr>
          <w:color w:val="44546A" w:themeColor="text2"/>
        </w:rPr>
        <w:t xml:space="preserve"> and </w:t>
      </w:r>
      <w:r w:rsidR="00F723A7" w:rsidRPr="008F0D85">
        <w:rPr>
          <w:color w:val="44546A" w:themeColor="text2"/>
        </w:rPr>
        <w:t>World Resources Institute (</w:t>
      </w:r>
      <w:r w:rsidRPr="008F0D85">
        <w:rPr>
          <w:color w:val="44546A" w:themeColor="text2"/>
        </w:rPr>
        <w:t>WRI</w:t>
      </w:r>
      <w:r w:rsidR="00F723A7" w:rsidRPr="008F0D85">
        <w:rPr>
          <w:color w:val="44546A" w:themeColor="text2"/>
        </w:rPr>
        <w:t>)</w:t>
      </w:r>
      <w:r w:rsidRPr="008F0D85">
        <w:rPr>
          <w:color w:val="44546A" w:themeColor="text2"/>
        </w:rPr>
        <w:t xml:space="preserve"> Greenhouse Gas Protocol Corporate Value Chain (Scope 3) Accounting and Reporting Standard</w:t>
      </w:r>
      <w:r w:rsidR="00C541F3" w:rsidRPr="008F0D85">
        <w:rPr>
          <w:rStyle w:val="FootnoteReference"/>
          <w:color w:val="44546A" w:themeColor="text2"/>
        </w:rPr>
        <w:footnoteReference w:id="4"/>
      </w:r>
      <w:r w:rsidRPr="008F0D85">
        <w:rPr>
          <w:color w:val="44546A" w:themeColor="text2"/>
        </w:rPr>
        <w:t xml:space="preserve"> (the GHG Protocol</w:t>
      </w:r>
      <w:r w:rsidR="00562922" w:rsidRPr="008F0D85">
        <w:rPr>
          <w:color w:val="44546A" w:themeColor="text2"/>
        </w:rPr>
        <w:t xml:space="preserve">) </w:t>
      </w:r>
      <w:r w:rsidRPr="008F0D85">
        <w:rPr>
          <w:color w:val="44546A" w:themeColor="text2"/>
        </w:rPr>
        <w:t>as amended. Additionally, it adheres to the Required Greenhouse Gases in Inventories</w:t>
      </w:r>
      <w:r w:rsidR="00EC1A8B" w:rsidRPr="008F0D85">
        <w:rPr>
          <w:color w:val="44546A" w:themeColor="text2"/>
        </w:rPr>
        <w:t>:</w:t>
      </w:r>
      <w:r w:rsidRPr="008F0D85">
        <w:rPr>
          <w:color w:val="44546A" w:themeColor="text2"/>
        </w:rPr>
        <w:t xml:space="preserve"> </w:t>
      </w:r>
      <w:r w:rsidRPr="0063032C">
        <w:rPr>
          <w:color w:val="44546A" w:themeColor="text2"/>
        </w:rPr>
        <w:t>Accounting and Reporting Standard Amendment</w:t>
      </w:r>
      <w:r w:rsidR="00EC1A8B" w:rsidRPr="008F0D85">
        <w:rPr>
          <w:rStyle w:val="FootnoteReference"/>
          <w:color w:val="44546A" w:themeColor="text2"/>
        </w:rPr>
        <w:footnoteReference w:id="5"/>
      </w:r>
      <w:r w:rsidRPr="008F0D85">
        <w:rPr>
          <w:color w:val="44546A" w:themeColor="text2"/>
        </w:rPr>
        <w:t xml:space="preserve">. </w:t>
      </w:r>
    </w:p>
    <w:p w14:paraId="02D9F1AC" w14:textId="64416B9A" w:rsidR="00E74DA1" w:rsidRPr="00FC6D8C" w:rsidRDefault="008C22EE" w:rsidP="00E74DA1">
      <w:pPr>
        <w:tabs>
          <w:tab w:val="left" w:pos="4820"/>
        </w:tabs>
        <w:jc w:val="both"/>
        <w:rPr>
          <w:color w:val="44546A" w:themeColor="text2"/>
        </w:rPr>
      </w:pPr>
      <w:r w:rsidRPr="008C22EE">
        <w:rPr>
          <w:color w:val="44546A" w:themeColor="text2"/>
        </w:rPr>
        <w:lastRenderedPageBreak/>
        <w:t xml:space="preserve">CAML’s Scope 3 assessment, disclosed within this report, meets the reporting requirements established by the </w:t>
      </w:r>
      <w:r w:rsidRPr="008F0D85">
        <w:rPr>
          <w:color w:val="44546A" w:themeColor="text2"/>
        </w:rPr>
        <w:t>GHG Protocol Technical Guidance for Calculating Scope 3 Emissions</w:t>
      </w:r>
      <w:r w:rsidRPr="008F0D85">
        <w:rPr>
          <w:rStyle w:val="FootnoteReference"/>
          <w:color w:val="44546A" w:themeColor="text2"/>
        </w:rPr>
        <w:footnoteReference w:id="6"/>
      </w:r>
      <w:r w:rsidRPr="008F0D85">
        <w:rPr>
          <w:color w:val="44546A" w:themeColor="text2"/>
        </w:rPr>
        <w:t xml:space="preserve"> (Scope 3 Guidance)</w:t>
      </w:r>
      <w:r w:rsidR="000362A0">
        <w:rPr>
          <w:color w:val="44546A" w:themeColor="text2"/>
        </w:rPr>
        <w:t xml:space="preserve"> and the </w:t>
      </w:r>
      <w:r w:rsidR="0011667F" w:rsidRPr="008F0D85">
        <w:rPr>
          <w:color w:val="44546A" w:themeColor="text2"/>
        </w:rPr>
        <w:t>GHG Protocol</w:t>
      </w:r>
      <w:r w:rsidR="0011667F" w:rsidRPr="008F0D85">
        <w:rPr>
          <w:color w:val="44546A" w:themeColor="text2"/>
          <w:vertAlign w:val="superscript"/>
        </w:rPr>
        <w:t>1</w:t>
      </w:r>
      <w:r w:rsidRPr="008F0D85">
        <w:rPr>
          <w:color w:val="44546A" w:themeColor="text2"/>
        </w:rPr>
        <w:t>.</w:t>
      </w:r>
      <w:r w:rsidR="00E74DA1" w:rsidRPr="008F0D85">
        <w:rPr>
          <w:color w:val="44546A" w:themeColor="text2"/>
        </w:rPr>
        <w:t xml:space="preserve"> According to the GHG Protocol, the calculation and reporting of an organi</w:t>
      </w:r>
      <w:r w:rsidR="00C771D5">
        <w:rPr>
          <w:color w:val="44546A" w:themeColor="text2"/>
        </w:rPr>
        <w:t>s</w:t>
      </w:r>
      <w:r w:rsidR="00E74DA1" w:rsidRPr="008F0D85">
        <w:rPr>
          <w:color w:val="44546A" w:themeColor="text2"/>
        </w:rPr>
        <w:t xml:space="preserve">ation’s Scope 3 should follow the principles of relevance, completeness, </w:t>
      </w:r>
      <w:r w:rsidR="00E74DA1" w:rsidRPr="008F0D85">
        <w:rPr>
          <w:color w:val="44546A" w:themeColor="text2"/>
        </w:rPr>
        <w:t xml:space="preserve">consistency, transparency, and accuracy. </w:t>
      </w:r>
      <w:r w:rsidR="00E35BF6">
        <w:rPr>
          <w:color w:val="44546A" w:themeColor="text2"/>
        </w:rPr>
        <w:t xml:space="preserve">This report highlights </w:t>
      </w:r>
      <w:r w:rsidR="00E74DA1" w:rsidRPr="008F0D85">
        <w:rPr>
          <w:color w:val="44546A" w:themeColor="text2"/>
        </w:rPr>
        <w:t xml:space="preserve">any distinct </w:t>
      </w:r>
      <w:r w:rsidR="00E74DA1" w:rsidRPr="00FC6D8C">
        <w:rPr>
          <w:color w:val="44546A" w:themeColor="text2"/>
        </w:rPr>
        <w:t xml:space="preserve">trade-offs </w:t>
      </w:r>
      <w:r w:rsidR="00863925" w:rsidRPr="00FC6D8C">
        <w:rPr>
          <w:color w:val="44546A" w:themeColor="text2"/>
        </w:rPr>
        <w:t>made and</w:t>
      </w:r>
      <w:r w:rsidR="00E74DA1" w:rsidRPr="00FC6D8C">
        <w:rPr>
          <w:color w:val="44546A" w:themeColor="text2"/>
        </w:rPr>
        <w:t xml:space="preserve"> </w:t>
      </w:r>
      <w:r w:rsidR="00E35BF6">
        <w:rPr>
          <w:color w:val="44546A" w:themeColor="text2"/>
        </w:rPr>
        <w:t>provides</w:t>
      </w:r>
      <w:r w:rsidR="00E74DA1" w:rsidRPr="00FC6D8C">
        <w:rPr>
          <w:color w:val="44546A" w:themeColor="text2"/>
        </w:rPr>
        <w:t xml:space="preserve"> rationale behind them.</w:t>
      </w:r>
    </w:p>
    <w:p w14:paraId="0F47400B" w14:textId="7786A2AC" w:rsidR="004B465C" w:rsidRDefault="000D08DE" w:rsidP="00E74DA1">
      <w:pPr>
        <w:tabs>
          <w:tab w:val="left" w:pos="4820"/>
        </w:tabs>
        <w:jc w:val="both"/>
        <w:rPr>
          <w:color w:val="44546A" w:themeColor="text2"/>
        </w:rPr>
      </w:pPr>
      <w:r w:rsidRPr="00863925">
        <w:rPr>
          <w:color w:val="44546A" w:themeColor="text2"/>
        </w:rPr>
        <w:t xml:space="preserve">For Scope 3, the data presented reflects the activities </w:t>
      </w:r>
      <w:r w:rsidR="00866707">
        <w:rPr>
          <w:color w:val="44546A" w:themeColor="text2"/>
        </w:rPr>
        <w:t>related to</w:t>
      </w:r>
      <w:r w:rsidRPr="00863925">
        <w:rPr>
          <w:color w:val="44546A" w:themeColor="text2"/>
        </w:rPr>
        <w:t xml:space="preserve"> CAML’s two primary subsidiaries and their operational sites: Kounrad and Sasa. Other entities, </w:t>
      </w:r>
      <w:r w:rsidRPr="00863925">
        <w:rPr>
          <w:color w:val="44546A" w:themeColor="text2"/>
        </w:rPr>
        <w:t>including minority-owned subsidiarie</w:t>
      </w:r>
      <w:r w:rsidR="00866707">
        <w:rPr>
          <w:color w:val="44546A" w:themeColor="text2"/>
        </w:rPr>
        <w:t>s</w:t>
      </w:r>
      <w:r w:rsidRPr="00863925">
        <w:rPr>
          <w:color w:val="44546A" w:themeColor="text2"/>
        </w:rPr>
        <w:t xml:space="preserve">, have been excluded based on criteria of operational control </w:t>
      </w:r>
      <w:r w:rsidR="00866707">
        <w:rPr>
          <w:color w:val="44546A" w:themeColor="text2"/>
        </w:rPr>
        <w:t>or</w:t>
      </w:r>
      <w:r w:rsidRPr="00863925">
        <w:rPr>
          <w:color w:val="44546A" w:themeColor="text2"/>
        </w:rPr>
        <w:t xml:space="preserve"> materiality. These exclusions are in line with the GHG Protocol and reflect the current availability and relevance of emissions data for these entities</w:t>
      </w:r>
      <w:r w:rsidR="00A67704" w:rsidRPr="00FC6D8C">
        <w:rPr>
          <w:color w:val="44546A" w:themeColor="text2"/>
        </w:rPr>
        <w:t>.</w:t>
      </w:r>
    </w:p>
    <w:p w14:paraId="485A2792" w14:textId="77777777" w:rsidR="004B465C" w:rsidRPr="008F7154" w:rsidRDefault="004B465C" w:rsidP="004B465C">
      <w:pPr>
        <w:tabs>
          <w:tab w:val="left" w:pos="4820"/>
        </w:tabs>
        <w:jc w:val="both"/>
        <w:rPr>
          <w:rFonts w:eastAsiaTheme="majorEastAsia" w:cs="Times New Roman"/>
          <w:b/>
          <w:color w:val="3E5C60"/>
        </w:rPr>
      </w:pPr>
      <w:r w:rsidRPr="008F7154">
        <w:rPr>
          <w:rFonts w:eastAsiaTheme="majorEastAsia" w:cs="Times New Roman"/>
          <w:b/>
          <w:color w:val="3E5C60"/>
        </w:rPr>
        <w:t>Inflation and Exchange Rate Adjustment</w:t>
      </w:r>
    </w:p>
    <w:p w14:paraId="45ACD8FE" w14:textId="772C8877" w:rsidR="004B465C" w:rsidRPr="008F0D85" w:rsidRDefault="004B465C" w:rsidP="004B465C">
      <w:pPr>
        <w:tabs>
          <w:tab w:val="left" w:pos="4820"/>
        </w:tabs>
        <w:jc w:val="both"/>
        <w:rPr>
          <w:color w:val="44546A" w:themeColor="text2"/>
        </w:rPr>
      </w:pPr>
      <w:r w:rsidRPr="008D05F1">
        <w:rPr>
          <w:color w:val="44546A" w:themeColor="text2"/>
        </w:rPr>
        <w:t xml:space="preserve">For all spend-based </w:t>
      </w:r>
      <w:r>
        <w:rPr>
          <w:color w:val="44546A" w:themeColor="text2"/>
        </w:rPr>
        <w:t>estimations</w:t>
      </w:r>
      <w:r w:rsidRPr="008D05F1">
        <w:rPr>
          <w:color w:val="44546A" w:themeColor="text2"/>
        </w:rPr>
        <w:t xml:space="preserve"> in the Scope 3 inventory, the emission factors are </w:t>
      </w:r>
      <w:r w:rsidRPr="00656B4C">
        <w:rPr>
          <w:color w:val="44546A" w:themeColor="text2"/>
        </w:rPr>
        <w:t>based on 201</w:t>
      </w:r>
      <w:r w:rsidR="00656B4C">
        <w:rPr>
          <w:color w:val="44546A" w:themeColor="text2"/>
        </w:rPr>
        <w:t>9</w:t>
      </w:r>
      <w:r w:rsidRPr="00656B4C">
        <w:rPr>
          <w:color w:val="44546A" w:themeColor="text2"/>
        </w:rPr>
        <w:t xml:space="preserve"> US dollars. To align</w:t>
      </w:r>
      <w:r w:rsidRPr="008D05F1">
        <w:rPr>
          <w:color w:val="44546A" w:themeColor="text2"/>
        </w:rPr>
        <w:t xml:space="preserve"> with the GHG Protocol Scope 3 Calculation Guidance, these spend values are adjusted to account for market value differences between 201</w:t>
      </w:r>
      <w:r w:rsidR="00C13274">
        <w:rPr>
          <w:color w:val="44546A" w:themeColor="text2"/>
        </w:rPr>
        <w:t>9</w:t>
      </w:r>
      <w:r w:rsidRPr="008D05F1">
        <w:rPr>
          <w:color w:val="44546A" w:themeColor="text2"/>
        </w:rPr>
        <w:t xml:space="preserve"> and the reporting period. This is done using</w:t>
      </w:r>
      <w:r>
        <w:rPr>
          <w:color w:val="44546A" w:themeColor="text2"/>
        </w:rPr>
        <w:t xml:space="preserve"> </w:t>
      </w:r>
      <w:r w:rsidRPr="008D05F1">
        <w:rPr>
          <w:color w:val="44546A" w:themeColor="text2"/>
        </w:rPr>
        <w:t>inflation rates and exchange rates, ensuring the emission factors are applied accurately. The adjustment process involves deflating the spend values for the current year. This deflation uses a ratio of the Chain-Type Price Indexes for Gross Output by Industry</w:t>
      </w:r>
      <w:r w:rsidRPr="008F0D85">
        <w:rPr>
          <w:rStyle w:val="FootnoteReference"/>
          <w:color w:val="44546A" w:themeColor="text2"/>
        </w:rPr>
        <w:footnoteReference w:id="7"/>
      </w:r>
      <w:r w:rsidRPr="008F0D85">
        <w:rPr>
          <w:color w:val="44546A" w:themeColor="text2"/>
        </w:rPr>
        <w:t>.</w:t>
      </w:r>
      <w:r w:rsidRPr="008D05F1">
        <w:rPr>
          <w:color w:val="44546A" w:themeColor="text2"/>
        </w:rPr>
        <w:t xml:space="preserve"> from 201</w:t>
      </w:r>
      <w:r w:rsidR="000E42E1">
        <w:rPr>
          <w:color w:val="44546A" w:themeColor="text2"/>
        </w:rPr>
        <w:t>9</w:t>
      </w:r>
      <w:r w:rsidRPr="008D05F1">
        <w:rPr>
          <w:color w:val="44546A" w:themeColor="text2"/>
        </w:rPr>
        <w:t xml:space="preserve"> compared to the current year. These Price Index values are sourced from the US Bureau of Economic Analysis, with the assumption that all expenditures are subject to inflation in relation to the USD. Exchange rates used in the calculations are obtained from the internal financial department</w:t>
      </w:r>
      <w:r>
        <w:rPr>
          <w:color w:val="44546A" w:themeColor="text2"/>
        </w:rPr>
        <w:t>.</w:t>
      </w:r>
      <w:r w:rsidRPr="008F7154">
        <w:rPr>
          <w:color w:val="44546A" w:themeColor="text2"/>
        </w:rPr>
        <w:t xml:space="preserve"> </w:t>
      </w:r>
    </w:p>
    <w:p w14:paraId="3973DB22" w14:textId="77777777" w:rsidR="00835500" w:rsidRPr="008F0D85" w:rsidRDefault="00835500" w:rsidP="004B465C">
      <w:pPr>
        <w:tabs>
          <w:tab w:val="left" w:pos="4820"/>
        </w:tabs>
        <w:jc w:val="both"/>
        <w:rPr>
          <w:color w:val="44546A" w:themeColor="text2"/>
        </w:rPr>
      </w:pPr>
    </w:p>
    <w:p w14:paraId="2AB56504" w14:textId="77777777" w:rsidR="00835500" w:rsidRDefault="00835500" w:rsidP="00987E29">
      <w:pPr>
        <w:pStyle w:val="Heading2"/>
        <w:sectPr w:rsidR="00835500" w:rsidSect="00BE63C3">
          <w:headerReference w:type="default" r:id="rId14"/>
          <w:footerReference w:type="default" r:id="rId15"/>
          <w:footnotePr>
            <w:numRestart w:val="eachPage"/>
          </w:footnotePr>
          <w:pgSz w:w="11906" w:h="16838"/>
          <w:pgMar w:top="1440" w:right="1440" w:bottom="1440" w:left="1440" w:header="708" w:footer="708" w:gutter="0"/>
          <w:pgNumType w:start="1"/>
          <w:cols w:space="708"/>
          <w:titlePg/>
          <w:docGrid w:linePitch="360"/>
        </w:sectPr>
      </w:pPr>
    </w:p>
    <w:p w14:paraId="2641B261" w14:textId="066B0B32" w:rsidR="00B91663" w:rsidRPr="008F0D85" w:rsidRDefault="0006134C" w:rsidP="00987E29">
      <w:pPr>
        <w:pStyle w:val="Heading2"/>
      </w:pPr>
      <w:bookmarkStart w:id="11" w:name="_Toc194670368"/>
      <w:r w:rsidRPr="008F0D85">
        <w:lastRenderedPageBreak/>
        <w:t xml:space="preserve">Scope 3 </w:t>
      </w:r>
      <w:r w:rsidR="00DC11C7">
        <w:t>s</w:t>
      </w:r>
      <w:r w:rsidR="003F2F09" w:rsidRPr="008F0D85">
        <w:t xml:space="preserve">ummary </w:t>
      </w:r>
      <w:r w:rsidR="00DC11C7">
        <w:t>e</w:t>
      </w:r>
      <w:r w:rsidRPr="008F0D85">
        <w:t>missions</w:t>
      </w:r>
      <w:bookmarkEnd w:id="11"/>
      <w:r w:rsidRPr="008F0D85">
        <w:t xml:space="preserve"> </w:t>
      </w:r>
    </w:p>
    <w:p w14:paraId="31CC0611" w14:textId="723F693A" w:rsidR="0031473D" w:rsidRPr="007619BA" w:rsidRDefault="003F2F09" w:rsidP="00E74DA1">
      <w:pPr>
        <w:tabs>
          <w:tab w:val="left" w:pos="4820"/>
        </w:tabs>
        <w:jc w:val="both"/>
        <w:rPr>
          <w:color w:val="44546A" w:themeColor="text2"/>
        </w:rPr>
      </w:pPr>
      <w:r w:rsidRPr="007619BA">
        <w:rPr>
          <w:color w:val="44546A" w:themeColor="text2"/>
        </w:rPr>
        <w:t xml:space="preserve">CAML’s </w:t>
      </w:r>
      <w:r w:rsidR="0031473D" w:rsidRPr="007619BA">
        <w:rPr>
          <w:color w:val="44546A" w:themeColor="text2"/>
        </w:rPr>
        <w:t xml:space="preserve">Scope 3 emissions </w:t>
      </w:r>
      <w:r w:rsidR="009E1A3C" w:rsidRPr="007619BA">
        <w:rPr>
          <w:color w:val="44546A" w:themeColor="text2"/>
        </w:rPr>
        <w:t>for 202</w:t>
      </w:r>
      <w:r w:rsidR="006477C0">
        <w:rPr>
          <w:color w:val="44546A" w:themeColor="text2"/>
        </w:rPr>
        <w:t>4</w:t>
      </w:r>
      <w:r w:rsidR="009E1A3C" w:rsidRPr="007619BA">
        <w:rPr>
          <w:color w:val="44546A" w:themeColor="text2"/>
        </w:rPr>
        <w:t xml:space="preserve"> and the prior year comparison </w:t>
      </w:r>
      <w:r w:rsidR="006477C0">
        <w:rPr>
          <w:color w:val="44546A" w:themeColor="text2"/>
        </w:rPr>
        <w:t>are</w:t>
      </w:r>
      <w:r w:rsidR="0031473D" w:rsidRPr="007619BA">
        <w:rPr>
          <w:color w:val="44546A" w:themeColor="text2"/>
        </w:rPr>
        <w:t xml:space="preserve"> summarised as follows:</w:t>
      </w:r>
    </w:p>
    <w:p w14:paraId="48D7473D" w14:textId="7A1F7455" w:rsidR="006F65A0" w:rsidRPr="008F0D85" w:rsidRDefault="000B26A7" w:rsidP="47818EDB">
      <w:pPr>
        <w:tabs>
          <w:tab w:val="left" w:pos="4820"/>
        </w:tabs>
        <w:jc w:val="both"/>
        <w:rPr>
          <w:b/>
          <w:bCs/>
          <w:color w:val="44546A" w:themeColor="text2"/>
        </w:rPr>
      </w:pPr>
      <w:r w:rsidRPr="008F0D85">
        <w:rPr>
          <w:b/>
          <w:bCs/>
          <w:color w:val="44546A" w:themeColor="text2"/>
        </w:rPr>
        <w:t xml:space="preserve">Table </w:t>
      </w:r>
      <w:r w:rsidR="00443146">
        <w:rPr>
          <w:b/>
          <w:bCs/>
          <w:color w:val="44546A" w:themeColor="text2"/>
        </w:rPr>
        <w:t>3</w:t>
      </w:r>
      <w:r w:rsidRPr="008F0D85">
        <w:rPr>
          <w:b/>
          <w:bCs/>
          <w:color w:val="44546A" w:themeColor="text2"/>
        </w:rPr>
        <w:t xml:space="preserve"> </w:t>
      </w:r>
      <w:r w:rsidR="00D25FB6" w:rsidRPr="008F0D85">
        <w:rPr>
          <w:b/>
          <w:bCs/>
          <w:color w:val="44546A" w:themeColor="text2"/>
        </w:rPr>
        <w:t xml:space="preserve">- </w:t>
      </w:r>
      <w:r w:rsidR="00EE5DCB" w:rsidRPr="008F0D85">
        <w:rPr>
          <w:b/>
          <w:bCs/>
          <w:color w:val="44546A" w:themeColor="text2"/>
        </w:rPr>
        <w:t>Sc</w:t>
      </w:r>
      <w:r w:rsidR="003F206D" w:rsidRPr="008F0D85">
        <w:rPr>
          <w:b/>
          <w:bCs/>
          <w:color w:val="44546A" w:themeColor="text2"/>
        </w:rPr>
        <w:t>ope 3 emissions s</w:t>
      </w:r>
      <w:r w:rsidR="006F65A0" w:rsidRPr="008F0D85">
        <w:rPr>
          <w:b/>
          <w:bCs/>
          <w:color w:val="44546A" w:themeColor="text2"/>
        </w:rPr>
        <w:t>ummary</w:t>
      </w:r>
    </w:p>
    <w:tbl>
      <w:tblPr>
        <w:tblW w:w="9500" w:type="dxa"/>
        <w:tblLook w:val="04A0" w:firstRow="1" w:lastRow="0" w:firstColumn="1" w:lastColumn="0" w:noHBand="0" w:noVBand="1"/>
      </w:tblPr>
      <w:tblGrid>
        <w:gridCol w:w="1065"/>
        <w:gridCol w:w="4681"/>
        <w:gridCol w:w="1142"/>
        <w:gridCol w:w="1195"/>
        <w:gridCol w:w="1195"/>
        <w:gridCol w:w="222"/>
      </w:tblGrid>
      <w:tr w:rsidR="002E38FB" w:rsidRPr="00CB3781" w14:paraId="53C586A6" w14:textId="77777777" w:rsidTr="000E1959">
        <w:trPr>
          <w:gridAfter w:val="1"/>
          <w:wAfter w:w="222" w:type="dxa"/>
          <w:trHeight w:val="300"/>
        </w:trPr>
        <w:tc>
          <w:tcPr>
            <w:tcW w:w="1077" w:type="dxa"/>
            <w:vMerge w:val="restart"/>
            <w:tcBorders>
              <w:top w:val="single" w:sz="4" w:space="0" w:color="auto"/>
              <w:left w:val="single" w:sz="4" w:space="0" w:color="auto"/>
              <w:bottom w:val="single" w:sz="4" w:space="0" w:color="auto"/>
              <w:right w:val="single" w:sz="4" w:space="0" w:color="auto"/>
            </w:tcBorders>
            <w:shd w:val="clear" w:color="000000" w:fill="3E5C60"/>
            <w:textDirection w:val="btLr"/>
            <w:vAlign w:val="center"/>
            <w:hideMark/>
          </w:tcPr>
          <w:p w14:paraId="456927CD" w14:textId="77777777" w:rsidR="002E38FB" w:rsidRPr="00BE63C3" w:rsidRDefault="002E38FB" w:rsidP="002E38FB">
            <w:pPr>
              <w:spacing w:after="0" w:line="240" w:lineRule="auto"/>
              <w:jc w:val="both"/>
              <w:rPr>
                <w:rFonts w:eastAsia="Times New Roman" w:cs="Times New Roman"/>
                <w:b/>
                <w:color w:val="FFFFFF"/>
                <w:kern w:val="0"/>
                <w:sz w:val="20"/>
                <w:szCs w:val="20"/>
                <w:lang w:eastAsia="en-GB"/>
                <w14:ligatures w14:val="none"/>
              </w:rPr>
            </w:pPr>
            <w:r w:rsidRPr="00BE63C3">
              <w:rPr>
                <w:rFonts w:eastAsia="Times New Roman" w:cs="Times New Roman"/>
                <w:b/>
                <w:color w:val="FFFFFF" w:themeColor="background1"/>
                <w:kern w:val="0"/>
                <w:sz w:val="20"/>
                <w:szCs w:val="20"/>
                <w:lang w:eastAsia="en-GB"/>
                <w14:ligatures w14:val="none"/>
              </w:rPr>
              <w:t>Category</w:t>
            </w:r>
          </w:p>
        </w:tc>
        <w:tc>
          <w:tcPr>
            <w:tcW w:w="4730" w:type="dxa"/>
            <w:tcBorders>
              <w:top w:val="single" w:sz="4" w:space="0" w:color="auto"/>
              <w:left w:val="single" w:sz="4" w:space="0" w:color="auto"/>
              <w:right w:val="single" w:sz="4" w:space="0" w:color="auto"/>
            </w:tcBorders>
            <w:shd w:val="clear" w:color="000000" w:fill="3E5C60"/>
            <w:vAlign w:val="center"/>
            <w:hideMark/>
          </w:tcPr>
          <w:p w14:paraId="6E28BECF" w14:textId="77777777" w:rsidR="002E38FB" w:rsidRPr="00BE63C3" w:rsidRDefault="002E38FB" w:rsidP="002E38FB">
            <w:pPr>
              <w:spacing w:after="0" w:line="240" w:lineRule="auto"/>
              <w:jc w:val="center"/>
              <w:rPr>
                <w:rFonts w:eastAsia="Times New Roman" w:cs="Times New Roman"/>
                <w:color w:val="FFFFFF"/>
                <w:kern w:val="0"/>
                <w:sz w:val="20"/>
                <w:szCs w:val="20"/>
                <w:lang w:eastAsia="en-GB"/>
                <w14:ligatures w14:val="none"/>
              </w:rPr>
            </w:pPr>
            <w:r w:rsidRPr="00BE63C3">
              <w:rPr>
                <w:rFonts w:eastAsia="Times New Roman" w:cs="Times New Roman"/>
                <w:color w:val="FFFFFF" w:themeColor="background1"/>
                <w:kern w:val="0"/>
                <w:sz w:val="20"/>
                <w:szCs w:val="20"/>
                <w:lang w:eastAsia="en-GB"/>
                <w14:ligatures w14:val="none"/>
              </w:rPr>
              <w:t> </w:t>
            </w:r>
          </w:p>
        </w:tc>
        <w:tc>
          <w:tcPr>
            <w:tcW w:w="3471" w:type="dxa"/>
            <w:gridSpan w:val="3"/>
            <w:tcBorders>
              <w:top w:val="single" w:sz="4" w:space="0" w:color="auto"/>
              <w:left w:val="single" w:sz="4" w:space="0" w:color="auto"/>
              <w:bottom w:val="single" w:sz="4" w:space="0" w:color="auto"/>
              <w:right w:val="single" w:sz="4" w:space="0" w:color="auto"/>
            </w:tcBorders>
            <w:shd w:val="clear" w:color="000000" w:fill="3E5C60"/>
            <w:vAlign w:val="center"/>
            <w:hideMark/>
          </w:tcPr>
          <w:p w14:paraId="2C2CF526" w14:textId="77777777" w:rsidR="002E38FB" w:rsidRPr="00BE63C3" w:rsidRDefault="002E38FB" w:rsidP="002E38FB">
            <w:pPr>
              <w:spacing w:after="0" w:line="240" w:lineRule="auto"/>
              <w:jc w:val="center"/>
              <w:rPr>
                <w:rFonts w:eastAsia="Times New Roman" w:cs="Times New Roman"/>
                <w:b/>
                <w:color w:val="FFFFFF"/>
                <w:kern w:val="0"/>
                <w:sz w:val="20"/>
                <w:szCs w:val="20"/>
                <w:lang w:eastAsia="en-GB"/>
                <w14:ligatures w14:val="none"/>
              </w:rPr>
            </w:pPr>
            <w:r w:rsidRPr="00BE63C3">
              <w:rPr>
                <w:rFonts w:eastAsia="Times New Roman" w:cs="Times New Roman"/>
                <w:b/>
                <w:color w:val="FFFFFF" w:themeColor="background1"/>
                <w:kern w:val="0"/>
                <w:sz w:val="20"/>
                <w:szCs w:val="20"/>
                <w:lang w:eastAsia="en-GB"/>
                <w14:ligatures w14:val="none"/>
              </w:rPr>
              <w:t>GHG emissions</w:t>
            </w:r>
          </w:p>
        </w:tc>
      </w:tr>
      <w:tr w:rsidR="00E508B9" w:rsidRPr="00CB3781" w14:paraId="73A3A7DF" w14:textId="77777777" w:rsidTr="000E1959">
        <w:trPr>
          <w:gridAfter w:val="1"/>
          <w:wAfter w:w="222" w:type="dxa"/>
          <w:trHeight w:val="30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BCB71F5" w14:textId="77777777" w:rsidR="002E38FB" w:rsidRPr="00DA35A0" w:rsidRDefault="002E38FB" w:rsidP="002E38FB">
            <w:pPr>
              <w:spacing w:after="0" w:line="240" w:lineRule="auto"/>
              <w:rPr>
                <w:rFonts w:eastAsia="Times New Roman" w:cs="Times New Roman"/>
                <w:b/>
                <w:color w:val="FFFFFF"/>
                <w:kern w:val="0"/>
                <w:sz w:val="20"/>
                <w:szCs w:val="20"/>
                <w:lang w:eastAsia="en-GB"/>
                <w14:ligatures w14:val="none"/>
              </w:rPr>
            </w:pPr>
          </w:p>
        </w:tc>
        <w:tc>
          <w:tcPr>
            <w:tcW w:w="4730" w:type="dxa"/>
            <w:tcBorders>
              <w:top w:val="nil"/>
              <w:left w:val="single" w:sz="4" w:space="0" w:color="auto"/>
              <w:right w:val="single" w:sz="4" w:space="0" w:color="auto"/>
            </w:tcBorders>
            <w:shd w:val="clear" w:color="000000" w:fill="3E5C60"/>
            <w:vAlign w:val="center"/>
            <w:hideMark/>
          </w:tcPr>
          <w:p w14:paraId="26DFB42C" w14:textId="0435ED7C" w:rsidR="002E38FB" w:rsidRPr="00DA35A0" w:rsidRDefault="002E38FB" w:rsidP="002E38FB">
            <w:pPr>
              <w:spacing w:after="0" w:line="240" w:lineRule="auto"/>
              <w:jc w:val="center"/>
              <w:rPr>
                <w:rFonts w:eastAsia="Times New Roman" w:cs="Times New Roman"/>
                <w:color w:val="FFFFFF"/>
                <w:kern w:val="0"/>
                <w:sz w:val="20"/>
                <w:szCs w:val="20"/>
                <w:lang w:eastAsia="en-GB"/>
                <w14:ligatures w14:val="none"/>
              </w:rPr>
            </w:pPr>
            <w:r w:rsidRPr="00DA35A0">
              <w:rPr>
                <w:rFonts w:eastAsia="Times New Roman" w:cs="Times New Roman"/>
                <w:b/>
                <w:color w:val="FFFFFF" w:themeColor="background1"/>
                <w:kern w:val="0"/>
                <w:sz w:val="20"/>
                <w:szCs w:val="20"/>
                <w:lang w:eastAsia="en-GB"/>
                <w14:ligatures w14:val="none"/>
              </w:rPr>
              <w:t>Description</w:t>
            </w:r>
            <w:r w:rsidRPr="00DA35A0">
              <w:rPr>
                <w:rFonts w:eastAsia="Times New Roman" w:cs="Times New Roman"/>
                <w:color w:val="FFFFFF" w:themeColor="background1"/>
                <w:kern w:val="0"/>
                <w:sz w:val="20"/>
                <w:szCs w:val="20"/>
                <w:lang w:eastAsia="en-GB"/>
                <w14:ligatures w14:val="none"/>
              </w:rPr>
              <w:t> </w:t>
            </w:r>
          </w:p>
        </w:tc>
        <w:tc>
          <w:tcPr>
            <w:tcW w:w="1079" w:type="dxa"/>
            <w:tcBorders>
              <w:top w:val="nil"/>
              <w:left w:val="single" w:sz="4" w:space="0" w:color="auto"/>
              <w:bottom w:val="single" w:sz="4" w:space="0" w:color="auto"/>
              <w:right w:val="single" w:sz="4" w:space="0" w:color="auto"/>
            </w:tcBorders>
            <w:shd w:val="clear" w:color="000000" w:fill="3E5C60"/>
            <w:vAlign w:val="center"/>
            <w:hideMark/>
          </w:tcPr>
          <w:p w14:paraId="6F0FD299" w14:textId="77777777" w:rsidR="002E38FB" w:rsidRPr="00DA35A0" w:rsidRDefault="002E38FB" w:rsidP="002E38FB">
            <w:pPr>
              <w:spacing w:after="0" w:line="240" w:lineRule="auto"/>
              <w:jc w:val="center"/>
              <w:rPr>
                <w:rFonts w:eastAsia="Times New Roman" w:cs="Times New Roman"/>
                <w:b/>
                <w:color w:val="FFFFFF"/>
                <w:kern w:val="0"/>
                <w:sz w:val="20"/>
                <w:szCs w:val="20"/>
                <w:lang w:eastAsia="en-GB"/>
                <w14:ligatures w14:val="none"/>
              </w:rPr>
            </w:pPr>
            <w:r w:rsidRPr="00DA35A0">
              <w:rPr>
                <w:rFonts w:eastAsia="Times New Roman" w:cs="Times New Roman"/>
                <w:b/>
                <w:color w:val="FFFFFF" w:themeColor="background1"/>
                <w:kern w:val="0"/>
                <w:sz w:val="20"/>
                <w:szCs w:val="20"/>
                <w:lang w:eastAsia="en-GB"/>
                <w14:ligatures w14:val="none"/>
              </w:rPr>
              <w:t>2024</w:t>
            </w:r>
          </w:p>
        </w:tc>
        <w:tc>
          <w:tcPr>
            <w:tcW w:w="1196" w:type="dxa"/>
            <w:tcBorders>
              <w:top w:val="nil"/>
              <w:left w:val="nil"/>
              <w:bottom w:val="single" w:sz="4" w:space="0" w:color="auto"/>
              <w:right w:val="single" w:sz="4" w:space="0" w:color="auto"/>
            </w:tcBorders>
            <w:shd w:val="clear" w:color="000000" w:fill="3E5C60"/>
            <w:vAlign w:val="center"/>
            <w:hideMark/>
          </w:tcPr>
          <w:p w14:paraId="4D0F36E2" w14:textId="77777777" w:rsidR="002E38FB" w:rsidRPr="00DA35A0" w:rsidRDefault="002E38FB" w:rsidP="002E38FB">
            <w:pPr>
              <w:spacing w:after="0" w:line="240" w:lineRule="auto"/>
              <w:jc w:val="center"/>
              <w:rPr>
                <w:rFonts w:eastAsia="Times New Roman" w:cs="Times New Roman"/>
                <w:b/>
                <w:color w:val="FFFFFF"/>
                <w:kern w:val="0"/>
                <w:sz w:val="20"/>
                <w:szCs w:val="20"/>
                <w:lang w:eastAsia="en-GB"/>
                <w14:ligatures w14:val="none"/>
              </w:rPr>
            </w:pPr>
            <w:r w:rsidRPr="00DA35A0">
              <w:rPr>
                <w:rFonts w:eastAsia="Times New Roman" w:cs="Times New Roman"/>
                <w:b/>
                <w:color w:val="FFFFFF" w:themeColor="background1"/>
                <w:kern w:val="0"/>
                <w:sz w:val="20"/>
                <w:szCs w:val="20"/>
                <w:lang w:eastAsia="en-GB"/>
                <w14:ligatures w14:val="none"/>
              </w:rPr>
              <w:t>2023</w:t>
            </w:r>
          </w:p>
        </w:tc>
        <w:tc>
          <w:tcPr>
            <w:tcW w:w="1196" w:type="dxa"/>
            <w:tcBorders>
              <w:top w:val="nil"/>
              <w:left w:val="nil"/>
              <w:bottom w:val="single" w:sz="4" w:space="0" w:color="auto"/>
              <w:right w:val="single" w:sz="4" w:space="0" w:color="auto"/>
            </w:tcBorders>
            <w:shd w:val="clear" w:color="000000" w:fill="3E5C60"/>
            <w:vAlign w:val="center"/>
            <w:hideMark/>
          </w:tcPr>
          <w:p w14:paraId="5BB96D51" w14:textId="77777777" w:rsidR="002E38FB" w:rsidRPr="00DA35A0" w:rsidRDefault="002E38FB" w:rsidP="002E38FB">
            <w:pPr>
              <w:spacing w:after="0" w:line="240" w:lineRule="auto"/>
              <w:jc w:val="center"/>
              <w:rPr>
                <w:rFonts w:eastAsia="Times New Roman" w:cs="Times New Roman"/>
                <w:b/>
                <w:color w:val="FFFFFF"/>
                <w:kern w:val="0"/>
                <w:sz w:val="20"/>
                <w:szCs w:val="20"/>
                <w:lang w:eastAsia="en-GB"/>
                <w14:ligatures w14:val="none"/>
              </w:rPr>
            </w:pPr>
            <w:r w:rsidRPr="00DA35A0">
              <w:rPr>
                <w:rFonts w:eastAsia="Times New Roman" w:cs="Times New Roman"/>
                <w:b/>
                <w:color w:val="FFFFFF"/>
                <w:kern w:val="0"/>
                <w:sz w:val="20"/>
                <w:szCs w:val="20"/>
                <w:lang w:eastAsia="en-GB"/>
                <w14:ligatures w14:val="none"/>
              </w:rPr>
              <w:t>2022</w:t>
            </w:r>
          </w:p>
        </w:tc>
      </w:tr>
      <w:tr w:rsidR="00E508B9" w:rsidRPr="00CB3781" w14:paraId="24E8106D" w14:textId="77777777" w:rsidTr="000E1959">
        <w:trPr>
          <w:gridAfter w:val="1"/>
          <w:wAfter w:w="222" w:type="dxa"/>
          <w:trHeight w:val="421"/>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86C01FB" w14:textId="77777777" w:rsidR="002E38FB" w:rsidRPr="00DA35A0" w:rsidRDefault="002E38FB" w:rsidP="002E38FB">
            <w:pPr>
              <w:spacing w:after="0" w:line="240" w:lineRule="auto"/>
              <w:rPr>
                <w:rFonts w:eastAsia="Times New Roman" w:cs="Times New Roman"/>
                <w:b/>
                <w:color w:val="FFFFFF"/>
                <w:kern w:val="0"/>
                <w:sz w:val="20"/>
                <w:szCs w:val="20"/>
                <w:lang w:eastAsia="en-GB"/>
                <w14:ligatures w14:val="none"/>
              </w:rPr>
            </w:pPr>
          </w:p>
        </w:tc>
        <w:tc>
          <w:tcPr>
            <w:tcW w:w="4730" w:type="dxa"/>
            <w:tcBorders>
              <w:top w:val="nil"/>
              <w:left w:val="single" w:sz="4" w:space="0" w:color="auto"/>
              <w:bottom w:val="single" w:sz="4" w:space="0" w:color="auto"/>
              <w:right w:val="single" w:sz="4" w:space="0" w:color="auto"/>
            </w:tcBorders>
            <w:shd w:val="clear" w:color="000000" w:fill="3E5C60"/>
            <w:vAlign w:val="center"/>
            <w:hideMark/>
          </w:tcPr>
          <w:p w14:paraId="1294F0A6" w14:textId="67C2411C" w:rsidR="002E38FB" w:rsidRPr="00DA35A0" w:rsidRDefault="002E38FB" w:rsidP="002E38FB">
            <w:pPr>
              <w:spacing w:after="0" w:line="240" w:lineRule="auto"/>
              <w:jc w:val="center"/>
              <w:rPr>
                <w:rFonts w:eastAsia="Times New Roman" w:cs="Times New Roman"/>
                <w:b/>
                <w:color w:val="FFFFFF"/>
                <w:kern w:val="0"/>
                <w:sz w:val="20"/>
                <w:szCs w:val="20"/>
                <w:lang w:eastAsia="en-GB"/>
                <w14:ligatures w14:val="none"/>
              </w:rPr>
            </w:pPr>
          </w:p>
        </w:tc>
        <w:tc>
          <w:tcPr>
            <w:tcW w:w="1079" w:type="dxa"/>
            <w:tcBorders>
              <w:top w:val="nil"/>
              <w:left w:val="single" w:sz="4" w:space="0" w:color="auto"/>
              <w:bottom w:val="single" w:sz="4" w:space="0" w:color="auto"/>
              <w:right w:val="single" w:sz="4" w:space="0" w:color="auto"/>
            </w:tcBorders>
            <w:shd w:val="clear" w:color="000000" w:fill="3E5C60"/>
            <w:vAlign w:val="center"/>
            <w:hideMark/>
          </w:tcPr>
          <w:p w14:paraId="76E0CA72" w14:textId="77777777" w:rsidR="002E38FB" w:rsidRPr="00DA35A0" w:rsidRDefault="002E38FB" w:rsidP="002E38FB">
            <w:pPr>
              <w:spacing w:after="0" w:line="240" w:lineRule="auto"/>
              <w:jc w:val="center"/>
              <w:rPr>
                <w:rFonts w:eastAsia="Times New Roman" w:cs="Times New Roman"/>
                <w:b/>
                <w:color w:val="FFFFFF"/>
                <w:kern w:val="0"/>
                <w:sz w:val="20"/>
                <w:szCs w:val="20"/>
                <w:lang w:eastAsia="en-GB"/>
                <w14:ligatures w14:val="none"/>
              </w:rPr>
            </w:pPr>
            <w:r w:rsidRPr="00DA35A0">
              <w:rPr>
                <w:rFonts w:eastAsia="Times New Roman" w:cs="Times New Roman"/>
                <w:b/>
                <w:color w:val="FFFFFF" w:themeColor="background1"/>
                <w:kern w:val="0"/>
                <w:sz w:val="20"/>
                <w:szCs w:val="20"/>
                <w:lang w:eastAsia="en-GB"/>
                <w14:ligatures w14:val="none"/>
              </w:rPr>
              <w:t>tCO</w:t>
            </w:r>
            <w:r w:rsidRPr="00DA35A0">
              <w:rPr>
                <w:rFonts w:eastAsia="Times New Roman" w:cs="Times New Roman"/>
                <w:b/>
                <w:color w:val="FFFFFF"/>
                <w:kern w:val="0"/>
                <w:sz w:val="20"/>
                <w:szCs w:val="20"/>
                <w:vertAlign w:val="subscript"/>
                <w:lang w:eastAsia="en-GB"/>
                <w14:ligatures w14:val="none"/>
              </w:rPr>
              <w:t>2</w:t>
            </w:r>
            <w:r w:rsidRPr="00DA35A0">
              <w:rPr>
                <w:rFonts w:eastAsia="Times New Roman" w:cs="Times New Roman"/>
                <w:b/>
                <w:color w:val="FFFFFF"/>
                <w:kern w:val="0"/>
                <w:sz w:val="20"/>
                <w:szCs w:val="20"/>
                <w:lang w:eastAsia="en-GB"/>
                <w14:ligatures w14:val="none"/>
              </w:rPr>
              <w:t>e</w:t>
            </w:r>
          </w:p>
        </w:tc>
        <w:tc>
          <w:tcPr>
            <w:tcW w:w="1196" w:type="dxa"/>
            <w:tcBorders>
              <w:top w:val="nil"/>
              <w:left w:val="nil"/>
              <w:bottom w:val="single" w:sz="4" w:space="0" w:color="auto"/>
              <w:right w:val="single" w:sz="4" w:space="0" w:color="auto"/>
            </w:tcBorders>
            <w:shd w:val="clear" w:color="000000" w:fill="3E5C60"/>
            <w:vAlign w:val="center"/>
            <w:hideMark/>
          </w:tcPr>
          <w:p w14:paraId="28C375D2" w14:textId="77777777" w:rsidR="002E38FB" w:rsidRPr="00DA35A0" w:rsidRDefault="002E38FB" w:rsidP="002E38FB">
            <w:pPr>
              <w:spacing w:after="0" w:line="240" w:lineRule="auto"/>
              <w:jc w:val="center"/>
              <w:rPr>
                <w:rFonts w:eastAsia="Times New Roman" w:cs="Times New Roman"/>
                <w:b/>
                <w:color w:val="FFFFFF"/>
                <w:kern w:val="0"/>
                <w:sz w:val="20"/>
                <w:szCs w:val="20"/>
                <w:lang w:eastAsia="en-GB"/>
                <w14:ligatures w14:val="none"/>
              </w:rPr>
            </w:pPr>
            <w:r w:rsidRPr="00DA35A0">
              <w:rPr>
                <w:rFonts w:eastAsia="Times New Roman" w:cs="Times New Roman"/>
                <w:b/>
                <w:color w:val="FFFFFF" w:themeColor="background1"/>
                <w:kern w:val="0"/>
                <w:sz w:val="20"/>
                <w:szCs w:val="20"/>
                <w:lang w:eastAsia="en-GB"/>
                <w14:ligatures w14:val="none"/>
              </w:rPr>
              <w:t>tCO</w:t>
            </w:r>
            <w:r w:rsidRPr="00DA35A0">
              <w:rPr>
                <w:rFonts w:eastAsia="Times New Roman" w:cs="Times New Roman"/>
                <w:b/>
                <w:color w:val="FFFFFF"/>
                <w:kern w:val="0"/>
                <w:sz w:val="20"/>
                <w:szCs w:val="20"/>
                <w:vertAlign w:val="subscript"/>
                <w:lang w:eastAsia="en-GB"/>
                <w14:ligatures w14:val="none"/>
              </w:rPr>
              <w:t>2</w:t>
            </w:r>
            <w:r w:rsidRPr="00DA35A0">
              <w:rPr>
                <w:rFonts w:eastAsia="Times New Roman" w:cs="Times New Roman"/>
                <w:b/>
                <w:color w:val="FFFFFF"/>
                <w:kern w:val="0"/>
                <w:sz w:val="20"/>
                <w:szCs w:val="20"/>
                <w:lang w:eastAsia="en-GB"/>
                <w14:ligatures w14:val="none"/>
              </w:rPr>
              <w:t>e</w:t>
            </w:r>
          </w:p>
        </w:tc>
        <w:tc>
          <w:tcPr>
            <w:tcW w:w="1196" w:type="dxa"/>
            <w:tcBorders>
              <w:top w:val="nil"/>
              <w:left w:val="nil"/>
              <w:bottom w:val="single" w:sz="4" w:space="0" w:color="auto"/>
              <w:right w:val="single" w:sz="4" w:space="0" w:color="auto"/>
            </w:tcBorders>
            <w:shd w:val="clear" w:color="000000" w:fill="3E5C60"/>
            <w:vAlign w:val="center"/>
            <w:hideMark/>
          </w:tcPr>
          <w:p w14:paraId="6D8BBD3F" w14:textId="77777777" w:rsidR="002E38FB" w:rsidRPr="00DA35A0" w:rsidRDefault="002E38FB" w:rsidP="002E38FB">
            <w:pPr>
              <w:spacing w:after="0" w:line="240" w:lineRule="auto"/>
              <w:jc w:val="center"/>
              <w:rPr>
                <w:rFonts w:eastAsia="Times New Roman" w:cs="Times New Roman"/>
                <w:b/>
                <w:color w:val="FFFFFF"/>
                <w:kern w:val="0"/>
                <w:sz w:val="20"/>
                <w:szCs w:val="20"/>
                <w:lang w:eastAsia="en-GB"/>
                <w14:ligatures w14:val="none"/>
              </w:rPr>
            </w:pPr>
            <w:r w:rsidRPr="00DA35A0">
              <w:rPr>
                <w:rFonts w:eastAsia="Times New Roman" w:cs="Times New Roman"/>
                <w:b/>
                <w:color w:val="FFFFFF"/>
                <w:kern w:val="0"/>
                <w:sz w:val="20"/>
                <w:szCs w:val="20"/>
                <w:lang w:eastAsia="en-GB"/>
                <w14:ligatures w14:val="none"/>
              </w:rPr>
              <w:t>tCO</w:t>
            </w:r>
            <w:r w:rsidRPr="00DA35A0">
              <w:rPr>
                <w:rFonts w:eastAsia="Times New Roman" w:cs="Times New Roman"/>
                <w:b/>
                <w:color w:val="FFFFFF"/>
                <w:kern w:val="0"/>
                <w:sz w:val="20"/>
                <w:szCs w:val="20"/>
                <w:vertAlign w:val="subscript"/>
                <w:lang w:eastAsia="en-GB"/>
                <w14:ligatures w14:val="none"/>
              </w:rPr>
              <w:t>2</w:t>
            </w:r>
            <w:r w:rsidRPr="00DA35A0">
              <w:rPr>
                <w:rFonts w:eastAsia="Times New Roman" w:cs="Times New Roman"/>
                <w:b/>
                <w:color w:val="FFFFFF"/>
                <w:kern w:val="0"/>
                <w:sz w:val="20"/>
                <w:szCs w:val="20"/>
                <w:lang w:eastAsia="en-GB"/>
                <w14:ligatures w14:val="none"/>
              </w:rPr>
              <w:t>e</w:t>
            </w:r>
          </w:p>
        </w:tc>
      </w:tr>
      <w:tr w:rsidR="00F8110D" w:rsidRPr="00CB3781" w14:paraId="4F9396C9" w14:textId="77777777" w:rsidTr="000E1959">
        <w:trPr>
          <w:gridAfter w:val="1"/>
          <w:wAfter w:w="222" w:type="dxa"/>
          <w:trHeight w:val="300"/>
        </w:trPr>
        <w:tc>
          <w:tcPr>
            <w:tcW w:w="1077" w:type="dxa"/>
            <w:vMerge w:val="restart"/>
            <w:tcBorders>
              <w:top w:val="nil"/>
              <w:left w:val="single" w:sz="4" w:space="0" w:color="auto"/>
              <w:bottom w:val="single" w:sz="4" w:space="0" w:color="auto"/>
              <w:right w:val="single" w:sz="4" w:space="0" w:color="auto"/>
            </w:tcBorders>
            <w:textDirection w:val="btLr"/>
            <w:vAlign w:val="center"/>
            <w:hideMark/>
          </w:tcPr>
          <w:p w14:paraId="75CAE6DB" w14:textId="77777777" w:rsidR="00F8110D" w:rsidRPr="00DA35A0" w:rsidRDefault="00F8110D" w:rsidP="00F8110D">
            <w:pPr>
              <w:spacing w:after="0" w:line="240" w:lineRule="auto"/>
              <w:jc w:val="center"/>
              <w:rPr>
                <w:rFonts w:eastAsia="Times New Roman" w:cs="Times New Roman"/>
                <w:b/>
                <w:color w:val="44546A"/>
                <w:kern w:val="0"/>
                <w:sz w:val="20"/>
                <w:szCs w:val="20"/>
                <w:lang w:eastAsia="en-GB"/>
                <w14:ligatures w14:val="none"/>
              </w:rPr>
            </w:pPr>
            <w:r w:rsidRPr="00DA35A0">
              <w:rPr>
                <w:rFonts w:eastAsia="Times New Roman" w:cs="Times New Roman"/>
                <w:b/>
                <w:color w:val="44546A" w:themeColor="text2"/>
                <w:kern w:val="0"/>
                <w:sz w:val="20"/>
                <w:szCs w:val="20"/>
                <w:lang w:eastAsia="en-GB"/>
                <w14:ligatures w14:val="none"/>
              </w:rPr>
              <w:t>Upstream</w:t>
            </w:r>
          </w:p>
        </w:tc>
        <w:tc>
          <w:tcPr>
            <w:tcW w:w="4730" w:type="dxa"/>
            <w:tcBorders>
              <w:top w:val="single" w:sz="4" w:space="0" w:color="auto"/>
              <w:left w:val="nil"/>
              <w:bottom w:val="single" w:sz="4" w:space="0" w:color="auto"/>
              <w:right w:val="single" w:sz="4" w:space="0" w:color="auto"/>
            </w:tcBorders>
            <w:vAlign w:val="center"/>
            <w:hideMark/>
          </w:tcPr>
          <w:p w14:paraId="040767C8" w14:textId="77777777" w:rsidR="00F8110D" w:rsidRPr="00DA35A0" w:rsidRDefault="00F8110D" w:rsidP="00F8110D">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1.</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Purchased goods &amp; services</w:t>
            </w:r>
          </w:p>
        </w:tc>
        <w:tc>
          <w:tcPr>
            <w:tcW w:w="1079" w:type="dxa"/>
            <w:tcBorders>
              <w:top w:val="nil"/>
              <w:left w:val="nil"/>
              <w:bottom w:val="single" w:sz="4" w:space="0" w:color="auto"/>
              <w:right w:val="single" w:sz="4" w:space="0" w:color="auto"/>
            </w:tcBorders>
            <w:vAlign w:val="center"/>
            <w:hideMark/>
          </w:tcPr>
          <w:p w14:paraId="2B251FD3" w14:textId="6E027488"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31,538</w:t>
            </w:r>
          </w:p>
        </w:tc>
        <w:tc>
          <w:tcPr>
            <w:tcW w:w="1196" w:type="dxa"/>
            <w:tcBorders>
              <w:top w:val="nil"/>
              <w:left w:val="nil"/>
              <w:bottom w:val="single" w:sz="4" w:space="0" w:color="auto"/>
              <w:right w:val="single" w:sz="4" w:space="0" w:color="auto"/>
            </w:tcBorders>
            <w:vAlign w:val="center"/>
            <w:hideMark/>
          </w:tcPr>
          <w:p w14:paraId="4A42B605" w14:textId="259D8189"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27,115</w:t>
            </w:r>
          </w:p>
        </w:tc>
        <w:tc>
          <w:tcPr>
            <w:tcW w:w="1196" w:type="dxa"/>
            <w:tcBorders>
              <w:top w:val="nil"/>
              <w:left w:val="nil"/>
              <w:bottom w:val="single" w:sz="4" w:space="0" w:color="auto"/>
              <w:right w:val="single" w:sz="4" w:space="0" w:color="auto"/>
            </w:tcBorders>
            <w:vAlign w:val="center"/>
            <w:hideMark/>
          </w:tcPr>
          <w:p w14:paraId="7C4DCBE2" w14:textId="79ABC2B0"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23,443</w:t>
            </w:r>
          </w:p>
        </w:tc>
      </w:tr>
      <w:tr w:rsidR="00F8110D" w:rsidRPr="00CB3781" w14:paraId="751E17D4" w14:textId="77777777" w:rsidTr="000E1959">
        <w:trPr>
          <w:gridAfter w:val="1"/>
          <w:wAfter w:w="222" w:type="dxa"/>
          <w:trHeight w:val="300"/>
        </w:trPr>
        <w:tc>
          <w:tcPr>
            <w:tcW w:w="1077" w:type="dxa"/>
            <w:vMerge/>
            <w:tcBorders>
              <w:top w:val="nil"/>
              <w:left w:val="single" w:sz="4" w:space="0" w:color="auto"/>
              <w:bottom w:val="single" w:sz="4" w:space="0" w:color="auto"/>
              <w:right w:val="single" w:sz="4" w:space="0" w:color="auto"/>
            </w:tcBorders>
            <w:vAlign w:val="center"/>
            <w:hideMark/>
          </w:tcPr>
          <w:p w14:paraId="6C0C7642" w14:textId="77777777" w:rsidR="00F8110D" w:rsidRPr="00DA35A0" w:rsidRDefault="00F8110D" w:rsidP="00F8110D">
            <w:pPr>
              <w:spacing w:after="0" w:line="240" w:lineRule="auto"/>
              <w:rPr>
                <w:rFonts w:eastAsia="Times New Roman" w:cs="Times New Roman"/>
                <w:b/>
                <w:color w:val="44546A"/>
                <w:kern w:val="0"/>
                <w:sz w:val="20"/>
                <w:szCs w:val="20"/>
                <w:lang w:eastAsia="en-GB"/>
                <w14:ligatures w14:val="none"/>
              </w:rPr>
            </w:pPr>
          </w:p>
        </w:tc>
        <w:tc>
          <w:tcPr>
            <w:tcW w:w="4730" w:type="dxa"/>
            <w:tcBorders>
              <w:top w:val="nil"/>
              <w:left w:val="nil"/>
              <w:bottom w:val="single" w:sz="4" w:space="0" w:color="auto"/>
              <w:right w:val="single" w:sz="4" w:space="0" w:color="auto"/>
            </w:tcBorders>
            <w:vAlign w:val="center"/>
            <w:hideMark/>
          </w:tcPr>
          <w:p w14:paraId="3521A8A1" w14:textId="77777777" w:rsidR="00F8110D" w:rsidRPr="00DA35A0" w:rsidRDefault="00F8110D" w:rsidP="00F8110D">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2.</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Capital goods</w:t>
            </w:r>
          </w:p>
        </w:tc>
        <w:tc>
          <w:tcPr>
            <w:tcW w:w="1079" w:type="dxa"/>
            <w:tcBorders>
              <w:top w:val="nil"/>
              <w:left w:val="nil"/>
              <w:bottom w:val="single" w:sz="4" w:space="0" w:color="auto"/>
              <w:right w:val="single" w:sz="4" w:space="0" w:color="auto"/>
            </w:tcBorders>
            <w:vAlign w:val="center"/>
            <w:hideMark/>
          </w:tcPr>
          <w:p w14:paraId="674EFCA1" w14:textId="624E4480"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3,496</w:t>
            </w:r>
          </w:p>
        </w:tc>
        <w:tc>
          <w:tcPr>
            <w:tcW w:w="1196" w:type="dxa"/>
            <w:tcBorders>
              <w:top w:val="nil"/>
              <w:left w:val="nil"/>
              <w:bottom w:val="single" w:sz="4" w:space="0" w:color="auto"/>
              <w:right w:val="single" w:sz="4" w:space="0" w:color="auto"/>
            </w:tcBorders>
            <w:vAlign w:val="center"/>
            <w:hideMark/>
          </w:tcPr>
          <w:p w14:paraId="5C3EAC04" w14:textId="6B7CFCCD"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11,415</w:t>
            </w:r>
          </w:p>
        </w:tc>
        <w:tc>
          <w:tcPr>
            <w:tcW w:w="1196" w:type="dxa"/>
            <w:tcBorders>
              <w:top w:val="nil"/>
              <w:left w:val="nil"/>
              <w:bottom w:val="single" w:sz="4" w:space="0" w:color="auto"/>
              <w:right w:val="single" w:sz="4" w:space="0" w:color="auto"/>
            </w:tcBorders>
            <w:vAlign w:val="center"/>
            <w:hideMark/>
          </w:tcPr>
          <w:p w14:paraId="6B59F522" w14:textId="227021AC"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7,863</w:t>
            </w:r>
          </w:p>
        </w:tc>
      </w:tr>
      <w:tr w:rsidR="00F8110D" w:rsidRPr="00CB3781" w14:paraId="539D4EDC" w14:textId="77777777" w:rsidTr="000E1959">
        <w:trPr>
          <w:gridAfter w:val="1"/>
          <w:wAfter w:w="222" w:type="dxa"/>
          <w:trHeight w:val="300"/>
        </w:trPr>
        <w:tc>
          <w:tcPr>
            <w:tcW w:w="1077" w:type="dxa"/>
            <w:vMerge/>
            <w:tcBorders>
              <w:top w:val="nil"/>
              <w:left w:val="single" w:sz="4" w:space="0" w:color="auto"/>
              <w:bottom w:val="single" w:sz="4" w:space="0" w:color="auto"/>
              <w:right w:val="single" w:sz="4" w:space="0" w:color="auto"/>
            </w:tcBorders>
            <w:vAlign w:val="center"/>
            <w:hideMark/>
          </w:tcPr>
          <w:p w14:paraId="1E85113C" w14:textId="77777777" w:rsidR="00F8110D" w:rsidRPr="00DA35A0" w:rsidRDefault="00F8110D" w:rsidP="00F8110D">
            <w:pPr>
              <w:spacing w:after="0" w:line="240" w:lineRule="auto"/>
              <w:rPr>
                <w:rFonts w:eastAsia="Times New Roman" w:cs="Times New Roman"/>
                <w:b/>
                <w:color w:val="44546A"/>
                <w:kern w:val="0"/>
                <w:sz w:val="20"/>
                <w:szCs w:val="20"/>
                <w:lang w:eastAsia="en-GB"/>
                <w14:ligatures w14:val="none"/>
              </w:rPr>
            </w:pPr>
          </w:p>
        </w:tc>
        <w:tc>
          <w:tcPr>
            <w:tcW w:w="4730" w:type="dxa"/>
            <w:tcBorders>
              <w:top w:val="nil"/>
              <w:left w:val="nil"/>
              <w:bottom w:val="single" w:sz="4" w:space="0" w:color="auto"/>
              <w:right w:val="single" w:sz="4" w:space="0" w:color="auto"/>
            </w:tcBorders>
            <w:vAlign w:val="center"/>
            <w:hideMark/>
          </w:tcPr>
          <w:p w14:paraId="71F2EFF4" w14:textId="77777777" w:rsidR="00F8110D" w:rsidRPr="00DA35A0" w:rsidRDefault="00F8110D" w:rsidP="00F8110D">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3.</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Fuel &amp; energy related activities</w:t>
            </w:r>
          </w:p>
        </w:tc>
        <w:tc>
          <w:tcPr>
            <w:tcW w:w="1079" w:type="dxa"/>
            <w:tcBorders>
              <w:top w:val="nil"/>
              <w:left w:val="nil"/>
              <w:bottom w:val="single" w:sz="4" w:space="0" w:color="auto"/>
              <w:right w:val="single" w:sz="4" w:space="0" w:color="auto"/>
            </w:tcBorders>
            <w:vAlign w:val="center"/>
            <w:hideMark/>
          </w:tcPr>
          <w:p w14:paraId="0FEC5695" w14:textId="21181B11"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5,976</w:t>
            </w:r>
          </w:p>
        </w:tc>
        <w:tc>
          <w:tcPr>
            <w:tcW w:w="1196" w:type="dxa"/>
            <w:tcBorders>
              <w:top w:val="nil"/>
              <w:left w:val="nil"/>
              <w:bottom w:val="single" w:sz="4" w:space="0" w:color="auto"/>
              <w:right w:val="single" w:sz="4" w:space="0" w:color="auto"/>
            </w:tcBorders>
            <w:vAlign w:val="center"/>
            <w:hideMark/>
          </w:tcPr>
          <w:p w14:paraId="78C25E2E" w14:textId="20394A97"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6,382</w:t>
            </w:r>
          </w:p>
        </w:tc>
        <w:tc>
          <w:tcPr>
            <w:tcW w:w="1196" w:type="dxa"/>
            <w:tcBorders>
              <w:top w:val="nil"/>
              <w:left w:val="nil"/>
              <w:bottom w:val="single" w:sz="4" w:space="0" w:color="auto"/>
              <w:right w:val="single" w:sz="4" w:space="0" w:color="auto"/>
            </w:tcBorders>
            <w:vAlign w:val="center"/>
            <w:hideMark/>
          </w:tcPr>
          <w:p w14:paraId="53A3F290" w14:textId="090912BF"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6,562</w:t>
            </w:r>
          </w:p>
        </w:tc>
      </w:tr>
      <w:tr w:rsidR="00F8110D" w:rsidRPr="00CB3781" w14:paraId="700640E6" w14:textId="77777777" w:rsidTr="000E1959">
        <w:trPr>
          <w:gridAfter w:val="1"/>
          <w:wAfter w:w="222" w:type="dxa"/>
          <w:trHeight w:val="300"/>
        </w:trPr>
        <w:tc>
          <w:tcPr>
            <w:tcW w:w="1077" w:type="dxa"/>
            <w:vMerge/>
            <w:tcBorders>
              <w:top w:val="nil"/>
              <w:left w:val="single" w:sz="4" w:space="0" w:color="auto"/>
              <w:bottom w:val="single" w:sz="4" w:space="0" w:color="auto"/>
              <w:right w:val="single" w:sz="4" w:space="0" w:color="auto"/>
            </w:tcBorders>
            <w:vAlign w:val="center"/>
            <w:hideMark/>
          </w:tcPr>
          <w:p w14:paraId="54E731E0" w14:textId="77777777" w:rsidR="00F8110D" w:rsidRPr="00DA35A0" w:rsidRDefault="00F8110D" w:rsidP="00F8110D">
            <w:pPr>
              <w:spacing w:after="0" w:line="240" w:lineRule="auto"/>
              <w:rPr>
                <w:rFonts w:eastAsia="Times New Roman" w:cs="Times New Roman"/>
                <w:b/>
                <w:color w:val="44546A"/>
                <w:kern w:val="0"/>
                <w:sz w:val="20"/>
                <w:szCs w:val="20"/>
                <w:lang w:eastAsia="en-GB"/>
                <w14:ligatures w14:val="none"/>
              </w:rPr>
            </w:pPr>
          </w:p>
        </w:tc>
        <w:tc>
          <w:tcPr>
            <w:tcW w:w="4730" w:type="dxa"/>
            <w:tcBorders>
              <w:top w:val="nil"/>
              <w:left w:val="nil"/>
              <w:bottom w:val="single" w:sz="4" w:space="0" w:color="auto"/>
              <w:right w:val="single" w:sz="4" w:space="0" w:color="auto"/>
            </w:tcBorders>
            <w:vAlign w:val="center"/>
            <w:hideMark/>
          </w:tcPr>
          <w:p w14:paraId="4471440E" w14:textId="77777777" w:rsidR="00F8110D" w:rsidRPr="00DA35A0" w:rsidRDefault="00F8110D" w:rsidP="00F8110D">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4.</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Upstream transport and distribution</w:t>
            </w:r>
          </w:p>
        </w:tc>
        <w:tc>
          <w:tcPr>
            <w:tcW w:w="1079" w:type="dxa"/>
            <w:tcBorders>
              <w:top w:val="nil"/>
              <w:left w:val="nil"/>
              <w:bottom w:val="single" w:sz="4" w:space="0" w:color="auto"/>
              <w:right w:val="single" w:sz="4" w:space="0" w:color="auto"/>
            </w:tcBorders>
            <w:vAlign w:val="center"/>
            <w:hideMark/>
          </w:tcPr>
          <w:p w14:paraId="484C9338" w14:textId="539ABDE5"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1,941</w:t>
            </w:r>
          </w:p>
        </w:tc>
        <w:tc>
          <w:tcPr>
            <w:tcW w:w="1196" w:type="dxa"/>
            <w:tcBorders>
              <w:top w:val="nil"/>
              <w:left w:val="nil"/>
              <w:bottom w:val="single" w:sz="4" w:space="0" w:color="auto"/>
              <w:right w:val="single" w:sz="4" w:space="0" w:color="auto"/>
            </w:tcBorders>
            <w:vAlign w:val="center"/>
            <w:hideMark/>
          </w:tcPr>
          <w:p w14:paraId="3CB8A5C8" w14:textId="640C80E0"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1,993</w:t>
            </w:r>
          </w:p>
        </w:tc>
        <w:tc>
          <w:tcPr>
            <w:tcW w:w="1196" w:type="dxa"/>
            <w:tcBorders>
              <w:top w:val="nil"/>
              <w:left w:val="nil"/>
              <w:bottom w:val="single" w:sz="4" w:space="0" w:color="auto"/>
              <w:right w:val="single" w:sz="4" w:space="0" w:color="auto"/>
            </w:tcBorders>
            <w:vAlign w:val="center"/>
            <w:hideMark/>
          </w:tcPr>
          <w:p w14:paraId="12BCCCB7" w14:textId="2735ADE1"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1,805</w:t>
            </w:r>
          </w:p>
        </w:tc>
      </w:tr>
      <w:tr w:rsidR="00F8110D" w:rsidRPr="00CB3781" w14:paraId="4AC87D5D" w14:textId="77777777" w:rsidTr="000E1959">
        <w:trPr>
          <w:gridAfter w:val="1"/>
          <w:wAfter w:w="222" w:type="dxa"/>
          <w:trHeight w:val="300"/>
        </w:trPr>
        <w:tc>
          <w:tcPr>
            <w:tcW w:w="1077" w:type="dxa"/>
            <w:vMerge/>
            <w:tcBorders>
              <w:top w:val="nil"/>
              <w:left w:val="single" w:sz="4" w:space="0" w:color="auto"/>
              <w:bottom w:val="single" w:sz="4" w:space="0" w:color="auto"/>
              <w:right w:val="single" w:sz="4" w:space="0" w:color="auto"/>
            </w:tcBorders>
            <w:vAlign w:val="center"/>
            <w:hideMark/>
          </w:tcPr>
          <w:p w14:paraId="3AF4AF24" w14:textId="77777777" w:rsidR="00F8110D" w:rsidRPr="00DA35A0" w:rsidRDefault="00F8110D" w:rsidP="00F8110D">
            <w:pPr>
              <w:spacing w:after="0" w:line="240" w:lineRule="auto"/>
              <w:rPr>
                <w:rFonts w:eastAsia="Times New Roman" w:cs="Times New Roman"/>
                <w:b/>
                <w:color w:val="44546A"/>
                <w:kern w:val="0"/>
                <w:sz w:val="20"/>
                <w:szCs w:val="20"/>
                <w:lang w:eastAsia="en-GB"/>
                <w14:ligatures w14:val="none"/>
              </w:rPr>
            </w:pPr>
          </w:p>
        </w:tc>
        <w:tc>
          <w:tcPr>
            <w:tcW w:w="4730" w:type="dxa"/>
            <w:tcBorders>
              <w:top w:val="nil"/>
              <w:left w:val="nil"/>
              <w:bottom w:val="single" w:sz="4" w:space="0" w:color="auto"/>
              <w:right w:val="single" w:sz="4" w:space="0" w:color="auto"/>
            </w:tcBorders>
            <w:vAlign w:val="center"/>
            <w:hideMark/>
          </w:tcPr>
          <w:p w14:paraId="57EFCE05" w14:textId="77777777" w:rsidR="00F8110D" w:rsidRPr="00DA35A0" w:rsidRDefault="00F8110D" w:rsidP="00F8110D">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5.</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Waste generated in operations</w:t>
            </w:r>
          </w:p>
        </w:tc>
        <w:tc>
          <w:tcPr>
            <w:tcW w:w="1079" w:type="dxa"/>
            <w:tcBorders>
              <w:top w:val="nil"/>
              <w:left w:val="nil"/>
              <w:bottom w:val="single" w:sz="4" w:space="0" w:color="auto"/>
              <w:right w:val="single" w:sz="4" w:space="0" w:color="auto"/>
            </w:tcBorders>
            <w:vAlign w:val="center"/>
            <w:hideMark/>
          </w:tcPr>
          <w:p w14:paraId="25BF7CC5" w14:textId="5DABACE4"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480</w:t>
            </w:r>
          </w:p>
        </w:tc>
        <w:tc>
          <w:tcPr>
            <w:tcW w:w="1196" w:type="dxa"/>
            <w:tcBorders>
              <w:top w:val="nil"/>
              <w:left w:val="nil"/>
              <w:bottom w:val="single" w:sz="4" w:space="0" w:color="auto"/>
              <w:right w:val="single" w:sz="4" w:space="0" w:color="auto"/>
            </w:tcBorders>
            <w:vAlign w:val="center"/>
            <w:hideMark/>
          </w:tcPr>
          <w:p w14:paraId="3E225B12" w14:textId="1411AC5D"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390</w:t>
            </w:r>
          </w:p>
        </w:tc>
        <w:tc>
          <w:tcPr>
            <w:tcW w:w="1196" w:type="dxa"/>
            <w:tcBorders>
              <w:top w:val="nil"/>
              <w:left w:val="nil"/>
              <w:bottom w:val="single" w:sz="4" w:space="0" w:color="auto"/>
              <w:right w:val="single" w:sz="4" w:space="0" w:color="auto"/>
            </w:tcBorders>
            <w:vAlign w:val="center"/>
            <w:hideMark/>
          </w:tcPr>
          <w:p w14:paraId="470CA2A5" w14:textId="0C8F7F76"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395</w:t>
            </w:r>
          </w:p>
        </w:tc>
      </w:tr>
      <w:tr w:rsidR="00F8110D" w:rsidRPr="00CB3781" w14:paraId="3C5F40C6" w14:textId="77777777" w:rsidTr="000E1959">
        <w:trPr>
          <w:gridAfter w:val="1"/>
          <w:wAfter w:w="222" w:type="dxa"/>
          <w:trHeight w:val="300"/>
        </w:trPr>
        <w:tc>
          <w:tcPr>
            <w:tcW w:w="1077" w:type="dxa"/>
            <w:vMerge/>
            <w:tcBorders>
              <w:top w:val="nil"/>
              <w:left w:val="single" w:sz="4" w:space="0" w:color="auto"/>
              <w:bottom w:val="single" w:sz="4" w:space="0" w:color="auto"/>
              <w:right w:val="single" w:sz="4" w:space="0" w:color="auto"/>
            </w:tcBorders>
            <w:vAlign w:val="center"/>
            <w:hideMark/>
          </w:tcPr>
          <w:p w14:paraId="087E486F" w14:textId="77777777" w:rsidR="00F8110D" w:rsidRPr="00DA35A0" w:rsidRDefault="00F8110D" w:rsidP="00F8110D">
            <w:pPr>
              <w:spacing w:after="0" w:line="240" w:lineRule="auto"/>
              <w:rPr>
                <w:rFonts w:eastAsia="Times New Roman" w:cs="Times New Roman"/>
                <w:b/>
                <w:color w:val="44546A"/>
                <w:kern w:val="0"/>
                <w:sz w:val="20"/>
                <w:szCs w:val="20"/>
                <w:lang w:eastAsia="en-GB"/>
                <w14:ligatures w14:val="none"/>
              </w:rPr>
            </w:pPr>
          </w:p>
        </w:tc>
        <w:tc>
          <w:tcPr>
            <w:tcW w:w="4730" w:type="dxa"/>
            <w:tcBorders>
              <w:top w:val="nil"/>
              <w:left w:val="nil"/>
              <w:bottom w:val="single" w:sz="4" w:space="0" w:color="auto"/>
              <w:right w:val="single" w:sz="4" w:space="0" w:color="auto"/>
            </w:tcBorders>
            <w:vAlign w:val="center"/>
            <w:hideMark/>
          </w:tcPr>
          <w:p w14:paraId="6FAD7029" w14:textId="77777777" w:rsidR="00F8110D" w:rsidRPr="00DA35A0" w:rsidRDefault="00F8110D" w:rsidP="00F8110D">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6.</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Business travel</w:t>
            </w:r>
          </w:p>
        </w:tc>
        <w:tc>
          <w:tcPr>
            <w:tcW w:w="1079" w:type="dxa"/>
            <w:tcBorders>
              <w:top w:val="nil"/>
              <w:left w:val="nil"/>
              <w:bottom w:val="single" w:sz="4" w:space="0" w:color="auto"/>
              <w:right w:val="single" w:sz="4" w:space="0" w:color="auto"/>
            </w:tcBorders>
            <w:vAlign w:val="center"/>
            <w:hideMark/>
          </w:tcPr>
          <w:p w14:paraId="6BB4CAAE" w14:textId="0278F3F8"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29</w:t>
            </w:r>
            <w:r w:rsidR="00A346D5">
              <w:rPr>
                <w:color w:val="44546A"/>
                <w:sz w:val="20"/>
                <w:szCs w:val="20"/>
              </w:rPr>
              <w:t>3</w:t>
            </w:r>
          </w:p>
        </w:tc>
        <w:tc>
          <w:tcPr>
            <w:tcW w:w="1196" w:type="dxa"/>
            <w:tcBorders>
              <w:top w:val="nil"/>
              <w:left w:val="nil"/>
              <w:bottom w:val="single" w:sz="4" w:space="0" w:color="auto"/>
              <w:right w:val="single" w:sz="4" w:space="0" w:color="auto"/>
            </w:tcBorders>
            <w:vAlign w:val="center"/>
            <w:hideMark/>
          </w:tcPr>
          <w:p w14:paraId="11D063BC" w14:textId="2E65DF34"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281</w:t>
            </w:r>
          </w:p>
        </w:tc>
        <w:tc>
          <w:tcPr>
            <w:tcW w:w="1196" w:type="dxa"/>
            <w:tcBorders>
              <w:top w:val="nil"/>
              <w:left w:val="nil"/>
              <w:bottom w:val="single" w:sz="4" w:space="0" w:color="auto"/>
              <w:right w:val="single" w:sz="4" w:space="0" w:color="auto"/>
            </w:tcBorders>
            <w:vAlign w:val="center"/>
            <w:hideMark/>
          </w:tcPr>
          <w:p w14:paraId="028ED3C8" w14:textId="072F3C25"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233</w:t>
            </w:r>
          </w:p>
        </w:tc>
      </w:tr>
      <w:tr w:rsidR="00F8110D" w:rsidRPr="00CB3781" w14:paraId="756106E0" w14:textId="77777777" w:rsidTr="000E1959">
        <w:trPr>
          <w:gridAfter w:val="1"/>
          <w:wAfter w:w="222" w:type="dxa"/>
          <w:trHeight w:val="300"/>
        </w:trPr>
        <w:tc>
          <w:tcPr>
            <w:tcW w:w="1077" w:type="dxa"/>
            <w:vMerge/>
            <w:tcBorders>
              <w:top w:val="nil"/>
              <w:left w:val="single" w:sz="4" w:space="0" w:color="auto"/>
              <w:bottom w:val="single" w:sz="4" w:space="0" w:color="auto"/>
              <w:right w:val="single" w:sz="4" w:space="0" w:color="auto"/>
            </w:tcBorders>
            <w:vAlign w:val="center"/>
            <w:hideMark/>
          </w:tcPr>
          <w:p w14:paraId="2D44D0B6" w14:textId="77777777" w:rsidR="00F8110D" w:rsidRPr="00DA35A0" w:rsidRDefault="00F8110D" w:rsidP="00F8110D">
            <w:pPr>
              <w:spacing w:after="0" w:line="240" w:lineRule="auto"/>
              <w:rPr>
                <w:rFonts w:eastAsia="Times New Roman" w:cs="Times New Roman"/>
                <w:b/>
                <w:color w:val="44546A"/>
                <w:kern w:val="0"/>
                <w:sz w:val="20"/>
                <w:szCs w:val="20"/>
                <w:lang w:eastAsia="en-GB"/>
                <w14:ligatures w14:val="none"/>
              </w:rPr>
            </w:pPr>
          </w:p>
        </w:tc>
        <w:tc>
          <w:tcPr>
            <w:tcW w:w="4730" w:type="dxa"/>
            <w:tcBorders>
              <w:top w:val="nil"/>
              <w:left w:val="nil"/>
              <w:bottom w:val="single" w:sz="4" w:space="0" w:color="auto"/>
              <w:right w:val="single" w:sz="4" w:space="0" w:color="auto"/>
            </w:tcBorders>
            <w:vAlign w:val="center"/>
            <w:hideMark/>
          </w:tcPr>
          <w:p w14:paraId="4407AC5C" w14:textId="77777777" w:rsidR="00F8110D" w:rsidRPr="00DA35A0" w:rsidRDefault="00F8110D" w:rsidP="00F8110D">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7.</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Employee commuting</w:t>
            </w:r>
          </w:p>
        </w:tc>
        <w:tc>
          <w:tcPr>
            <w:tcW w:w="1079" w:type="dxa"/>
            <w:tcBorders>
              <w:top w:val="nil"/>
              <w:left w:val="nil"/>
              <w:bottom w:val="single" w:sz="4" w:space="0" w:color="auto"/>
              <w:right w:val="single" w:sz="4" w:space="0" w:color="auto"/>
            </w:tcBorders>
            <w:vAlign w:val="center"/>
            <w:hideMark/>
          </w:tcPr>
          <w:p w14:paraId="756C21E1" w14:textId="6B334463"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265</w:t>
            </w:r>
          </w:p>
        </w:tc>
        <w:tc>
          <w:tcPr>
            <w:tcW w:w="1196" w:type="dxa"/>
            <w:tcBorders>
              <w:top w:val="nil"/>
              <w:left w:val="nil"/>
              <w:bottom w:val="single" w:sz="4" w:space="0" w:color="auto"/>
              <w:right w:val="single" w:sz="4" w:space="0" w:color="auto"/>
            </w:tcBorders>
            <w:vAlign w:val="center"/>
            <w:hideMark/>
          </w:tcPr>
          <w:p w14:paraId="505CBA7C" w14:textId="56A7A286"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240</w:t>
            </w:r>
          </w:p>
        </w:tc>
        <w:tc>
          <w:tcPr>
            <w:tcW w:w="1196" w:type="dxa"/>
            <w:tcBorders>
              <w:top w:val="nil"/>
              <w:left w:val="nil"/>
              <w:bottom w:val="single" w:sz="4" w:space="0" w:color="auto"/>
              <w:right w:val="single" w:sz="4" w:space="0" w:color="auto"/>
            </w:tcBorders>
            <w:vAlign w:val="center"/>
            <w:hideMark/>
          </w:tcPr>
          <w:p w14:paraId="106B09BB" w14:textId="0286D4CC"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254</w:t>
            </w:r>
          </w:p>
        </w:tc>
      </w:tr>
      <w:tr w:rsidR="003455EB" w:rsidRPr="00CB3781" w14:paraId="245AB932" w14:textId="77777777" w:rsidTr="000E1959">
        <w:trPr>
          <w:gridAfter w:val="1"/>
          <w:wAfter w:w="222" w:type="dxa"/>
          <w:trHeight w:val="300"/>
        </w:trPr>
        <w:tc>
          <w:tcPr>
            <w:tcW w:w="1077" w:type="dxa"/>
            <w:vMerge/>
            <w:tcBorders>
              <w:top w:val="nil"/>
              <w:left w:val="single" w:sz="4" w:space="0" w:color="auto"/>
              <w:bottom w:val="single" w:sz="4" w:space="0" w:color="auto"/>
              <w:right w:val="single" w:sz="4" w:space="0" w:color="auto"/>
            </w:tcBorders>
            <w:vAlign w:val="center"/>
            <w:hideMark/>
          </w:tcPr>
          <w:p w14:paraId="2651A534" w14:textId="77777777" w:rsidR="003455EB" w:rsidRPr="00DA35A0" w:rsidRDefault="003455EB" w:rsidP="003455EB">
            <w:pPr>
              <w:spacing w:after="0" w:line="240" w:lineRule="auto"/>
              <w:rPr>
                <w:rFonts w:eastAsia="Times New Roman" w:cs="Times New Roman"/>
                <w:b/>
                <w:color w:val="44546A"/>
                <w:kern w:val="0"/>
                <w:sz w:val="20"/>
                <w:szCs w:val="20"/>
                <w:lang w:eastAsia="en-GB"/>
                <w14:ligatures w14:val="none"/>
              </w:rPr>
            </w:pPr>
          </w:p>
        </w:tc>
        <w:tc>
          <w:tcPr>
            <w:tcW w:w="4730" w:type="dxa"/>
            <w:tcBorders>
              <w:top w:val="nil"/>
              <w:left w:val="nil"/>
              <w:bottom w:val="single" w:sz="4" w:space="0" w:color="auto"/>
              <w:right w:val="single" w:sz="4" w:space="0" w:color="auto"/>
            </w:tcBorders>
            <w:vAlign w:val="center"/>
            <w:hideMark/>
          </w:tcPr>
          <w:p w14:paraId="253B9009" w14:textId="77777777" w:rsidR="003455EB" w:rsidRPr="00DA35A0" w:rsidRDefault="003455EB" w:rsidP="003455EB">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8.</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Upstream leased assets*</w:t>
            </w:r>
          </w:p>
        </w:tc>
        <w:tc>
          <w:tcPr>
            <w:tcW w:w="1079" w:type="dxa"/>
            <w:tcBorders>
              <w:top w:val="nil"/>
              <w:left w:val="nil"/>
              <w:bottom w:val="single" w:sz="4" w:space="0" w:color="auto"/>
              <w:right w:val="single" w:sz="4" w:space="0" w:color="auto"/>
            </w:tcBorders>
            <w:hideMark/>
          </w:tcPr>
          <w:p w14:paraId="7911826E" w14:textId="5BFB623D"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r w:rsidRPr="00DA35A0">
              <w:rPr>
                <w:rFonts w:eastAsia="Times New Roman" w:cs="Times New Roman"/>
                <w:color w:val="44546A"/>
                <w:kern w:val="0"/>
                <w:sz w:val="20"/>
                <w:szCs w:val="20"/>
                <w:lang w:eastAsia="en-GB"/>
                <w14:ligatures w14:val="none"/>
              </w:rPr>
              <w:t>-</w:t>
            </w:r>
          </w:p>
        </w:tc>
        <w:tc>
          <w:tcPr>
            <w:tcW w:w="1196" w:type="dxa"/>
            <w:tcBorders>
              <w:top w:val="nil"/>
              <w:left w:val="nil"/>
              <w:bottom w:val="single" w:sz="4" w:space="0" w:color="auto"/>
              <w:right w:val="single" w:sz="4" w:space="0" w:color="auto"/>
            </w:tcBorders>
            <w:vAlign w:val="center"/>
            <w:hideMark/>
          </w:tcPr>
          <w:p w14:paraId="2FC5BC02" w14:textId="77777777"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r w:rsidRPr="00DA35A0">
              <w:rPr>
                <w:rFonts w:eastAsia="Times New Roman" w:cs="Times New Roman"/>
                <w:color w:val="44546A"/>
                <w:kern w:val="0"/>
                <w:sz w:val="20"/>
                <w:szCs w:val="20"/>
                <w:lang w:eastAsia="en-GB"/>
                <w14:ligatures w14:val="none"/>
              </w:rPr>
              <w:t>-</w:t>
            </w:r>
          </w:p>
        </w:tc>
        <w:tc>
          <w:tcPr>
            <w:tcW w:w="1196" w:type="dxa"/>
            <w:tcBorders>
              <w:top w:val="nil"/>
              <w:left w:val="nil"/>
              <w:bottom w:val="single" w:sz="4" w:space="0" w:color="auto"/>
              <w:right w:val="single" w:sz="4" w:space="0" w:color="auto"/>
            </w:tcBorders>
            <w:vAlign w:val="center"/>
            <w:hideMark/>
          </w:tcPr>
          <w:p w14:paraId="4FCA70EB" w14:textId="77777777"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r w:rsidRPr="00DA35A0">
              <w:rPr>
                <w:rFonts w:eastAsia="Times New Roman" w:cs="Times New Roman"/>
                <w:color w:val="44546A"/>
                <w:kern w:val="0"/>
                <w:sz w:val="20"/>
                <w:szCs w:val="20"/>
                <w:lang w:eastAsia="en-GB"/>
                <w14:ligatures w14:val="none"/>
              </w:rPr>
              <w:t>-</w:t>
            </w:r>
          </w:p>
        </w:tc>
      </w:tr>
      <w:tr w:rsidR="00F8110D" w:rsidRPr="00CB3781" w14:paraId="5B53DFE2" w14:textId="77777777" w:rsidTr="000E1959">
        <w:trPr>
          <w:gridAfter w:val="1"/>
          <w:wAfter w:w="222" w:type="dxa"/>
          <w:trHeight w:val="300"/>
        </w:trPr>
        <w:tc>
          <w:tcPr>
            <w:tcW w:w="1077" w:type="dxa"/>
            <w:vMerge w:val="restart"/>
            <w:tcBorders>
              <w:top w:val="nil"/>
              <w:left w:val="single" w:sz="4" w:space="0" w:color="auto"/>
              <w:bottom w:val="single" w:sz="4" w:space="0" w:color="auto"/>
              <w:right w:val="single" w:sz="4" w:space="0" w:color="auto"/>
            </w:tcBorders>
            <w:textDirection w:val="btLr"/>
            <w:vAlign w:val="center"/>
            <w:hideMark/>
          </w:tcPr>
          <w:p w14:paraId="477F7420" w14:textId="77777777" w:rsidR="00F8110D" w:rsidRPr="00DA35A0" w:rsidRDefault="00F8110D" w:rsidP="00F8110D">
            <w:pPr>
              <w:spacing w:after="0" w:line="240" w:lineRule="auto"/>
              <w:jc w:val="center"/>
              <w:rPr>
                <w:rFonts w:eastAsia="Times New Roman" w:cs="Times New Roman"/>
                <w:b/>
                <w:color w:val="44546A"/>
                <w:kern w:val="0"/>
                <w:sz w:val="20"/>
                <w:szCs w:val="20"/>
                <w:lang w:eastAsia="en-GB"/>
                <w14:ligatures w14:val="none"/>
              </w:rPr>
            </w:pPr>
            <w:r w:rsidRPr="00DA35A0">
              <w:rPr>
                <w:rFonts w:eastAsia="Times New Roman" w:cs="Times New Roman"/>
                <w:b/>
                <w:color w:val="44546A" w:themeColor="text2"/>
                <w:kern w:val="0"/>
                <w:sz w:val="20"/>
                <w:szCs w:val="20"/>
                <w:lang w:eastAsia="en-GB"/>
                <w14:ligatures w14:val="none"/>
              </w:rPr>
              <w:t>Downstream</w:t>
            </w:r>
          </w:p>
        </w:tc>
        <w:tc>
          <w:tcPr>
            <w:tcW w:w="4730" w:type="dxa"/>
            <w:tcBorders>
              <w:top w:val="nil"/>
              <w:left w:val="nil"/>
              <w:bottom w:val="single" w:sz="4" w:space="0" w:color="auto"/>
              <w:right w:val="single" w:sz="4" w:space="0" w:color="auto"/>
            </w:tcBorders>
            <w:vAlign w:val="center"/>
            <w:hideMark/>
          </w:tcPr>
          <w:p w14:paraId="7F96DBF8" w14:textId="77777777" w:rsidR="00F8110D" w:rsidRPr="00DA35A0" w:rsidRDefault="00F8110D" w:rsidP="00F8110D">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9.</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Downstream transport &amp; distribution</w:t>
            </w:r>
          </w:p>
        </w:tc>
        <w:tc>
          <w:tcPr>
            <w:tcW w:w="1079" w:type="dxa"/>
            <w:tcBorders>
              <w:top w:val="nil"/>
              <w:left w:val="nil"/>
              <w:bottom w:val="single" w:sz="4" w:space="0" w:color="auto"/>
              <w:right w:val="single" w:sz="4" w:space="0" w:color="auto"/>
            </w:tcBorders>
            <w:vAlign w:val="center"/>
            <w:hideMark/>
          </w:tcPr>
          <w:p w14:paraId="5981ABF5" w14:textId="124954F9"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14,573</w:t>
            </w:r>
          </w:p>
        </w:tc>
        <w:tc>
          <w:tcPr>
            <w:tcW w:w="1196" w:type="dxa"/>
            <w:tcBorders>
              <w:top w:val="nil"/>
              <w:left w:val="nil"/>
              <w:bottom w:val="single" w:sz="4" w:space="0" w:color="auto"/>
              <w:right w:val="single" w:sz="4" w:space="0" w:color="auto"/>
            </w:tcBorders>
            <w:vAlign w:val="center"/>
            <w:hideMark/>
          </w:tcPr>
          <w:p w14:paraId="5EAEC160" w14:textId="15AF131E"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16,025</w:t>
            </w:r>
          </w:p>
        </w:tc>
        <w:tc>
          <w:tcPr>
            <w:tcW w:w="1196" w:type="dxa"/>
            <w:tcBorders>
              <w:top w:val="nil"/>
              <w:left w:val="nil"/>
              <w:bottom w:val="single" w:sz="4" w:space="0" w:color="auto"/>
              <w:right w:val="single" w:sz="4" w:space="0" w:color="auto"/>
            </w:tcBorders>
            <w:vAlign w:val="center"/>
            <w:hideMark/>
          </w:tcPr>
          <w:p w14:paraId="713D64E0" w14:textId="72B084A1"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11,948</w:t>
            </w:r>
          </w:p>
        </w:tc>
      </w:tr>
      <w:tr w:rsidR="00F8110D" w:rsidRPr="00CB3781" w14:paraId="23F454C2" w14:textId="77777777" w:rsidTr="000E1959">
        <w:trPr>
          <w:gridAfter w:val="1"/>
          <w:wAfter w:w="222" w:type="dxa"/>
          <w:trHeight w:val="300"/>
        </w:trPr>
        <w:tc>
          <w:tcPr>
            <w:tcW w:w="1077" w:type="dxa"/>
            <w:vMerge/>
            <w:tcBorders>
              <w:top w:val="nil"/>
              <w:left w:val="single" w:sz="4" w:space="0" w:color="auto"/>
              <w:bottom w:val="single" w:sz="4" w:space="0" w:color="auto"/>
              <w:right w:val="single" w:sz="4" w:space="0" w:color="auto"/>
            </w:tcBorders>
            <w:vAlign w:val="center"/>
            <w:hideMark/>
          </w:tcPr>
          <w:p w14:paraId="3BC0BA57" w14:textId="77777777" w:rsidR="00F8110D" w:rsidRPr="00DA35A0" w:rsidRDefault="00F8110D" w:rsidP="00F8110D">
            <w:pPr>
              <w:spacing w:after="0" w:line="240" w:lineRule="auto"/>
              <w:rPr>
                <w:rFonts w:eastAsia="Times New Roman" w:cs="Times New Roman"/>
                <w:b/>
                <w:color w:val="44546A"/>
                <w:kern w:val="0"/>
                <w:sz w:val="20"/>
                <w:szCs w:val="20"/>
                <w:lang w:eastAsia="en-GB"/>
                <w14:ligatures w14:val="none"/>
              </w:rPr>
            </w:pPr>
          </w:p>
        </w:tc>
        <w:tc>
          <w:tcPr>
            <w:tcW w:w="4730" w:type="dxa"/>
            <w:tcBorders>
              <w:top w:val="nil"/>
              <w:left w:val="nil"/>
              <w:bottom w:val="single" w:sz="4" w:space="0" w:color="auto"/>
              <w:right w:val="single" w:sz="4" w:space="0" w:color="auto"/>
            </w:tcBorders>
            <w:vAlign w:val="center"/>
            <w:hideMark/>
          </w:tcPr>
          <w:p w14:paraId="6BB98241" w14:textId="77777777" w:rsidR="00F8110D" w:rsidRPr="00DA35A0" w:rsidRDefault="00F8110D" w:rsidP="00F8110D">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10.</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Processing of sold products</w:t>
            </w:r>
          </w:p>
        </w:tc>
        <w:tc>
          <w:tcPr>
            <w:tcW w:w="1079" w:type="dxa"/>
            <w:tcBorders>
              <w:top w:val="nil"/>
              <w:left w:val="nil"/>
              <w:bottom w:val="single" w:sz="4" w:space="0" w:color="auto"/>
              <w:right w:val="single" w:sz="4" w:space="0" w:color="auto"/>
            </w:tcBorders>
            <w:vAlign w:val="center"/>
            <w:hideMark/>
          </w:tcPr>
          <w:p w14:paraId="46C6F1F9" w14:textId="53E5A241"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98,659</w:t>
            </w:r>
          </w:p>
        </w:tc>
        <w:tc>
          <w:tcPr>
            <w:tcW w:w="1196" w:type="dxa"/>
            <w:tcBorders>
              <w:top w:val="nil"/>
              <w:left w:val="nil"/>
              <w:bottom w:val="single" w:sz="4" w:space="0" w:color="auto"/>
              <w:right w:val="single" w:sz="4" w:space="0" w:color="auto"/>
            </w:tcBorders>
            <w:vAlign w:val="center"/>
            <w:hideMark/>
          </w:tcPr>
          <w:p w14:paraId="593DA8C2" w14:textId="14862B17"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115,647</w:t>
            </w:r>
          </w:p>
        </w:tc>
        <w:tc>
          <w:tcPr>
            <w:tcW w:w="1196" w:type="dxa"/>
            <w:tcBorders>
              <w:top w:val="nil"/>
              <w:left w:val="nil"/>
              <w:bottom w:val="single" w:sz="4" w:space="0" w:color="auto"/>
              <w:right w:val="single" w:sz="4" w:space="0" w:color="auto"/>
            </w:tcBorders>
            <w:vAlign w:val="center"/>
            <w:hideMark/>
          </w:tcPr>
          <w:p w14:paraId="2D80095F" w14:textId="1548B4EF"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120,010</w:t>
            </w:r>
          </w:p>
        </w:tc>
      </w:tr>
      <w:tr w:rsidR="00F8110D" w:rsidRPr="00CB3781" w14:paraId="091BC08A" w14:textId="77777777" w:rsidTr="000E1959">
        <w:trPr>
          <w:gridAfter w:val="1"/>
          <w:wAfter w:w="222" w:type="dxa"/>
          <w:trHeight w:val="300"/>
        </w:trPr>
        <w:tc>
          <w:tcPr>
            <w:tcW w:w="1077" w:type="dxa"/>
            <w:vMerge/>
            <w:tcBorders>
              <w:top w:val="nil"/>
              <w:left w:val="single" w:sz="4" w:space="0" w:color="auto"/>
              <w:bottom w:val="single" w:sz="4" w:space="0" w:color="auto"/>
              <w:right w:val="single" w:sz="4" w:space="0" w:color="auto"/>
            </w:tcBorders>
            <w:vAlign w:val="center"/>
            <w:hideMark/>
          </w:tcPr>
          <w:p w14:paraId="6F6468BF" w14:textId="77777777" w:rsidR="00F8110D" w:rsidRPr="00DA35A0" w:rsidRDefault="00F8110D" w:rsidP="00F8110D">
            <w:pPr>
              <w:spacing w:after="0" w:line="240" w:lineRule="auto"/>
              <w:rPr>
                <w:rFonts w:eastAsia="Times New Roman" w:cs="Times New Roman"/>
                <w:b/>
                <w:color w:val="44546A"/>
                <w:kern w:val="0"/>
                <w:sz w:val="20"/>
                <w:szCs w:val="20"/>
                <w:lang w:eastAsia="en-GB"/>
                <w14:ligatures w14:val="none"/>
              </w:rPr>
            </w:pPr>
          </w:p>
        </w:tc>
        <w:tc>
          <w:tcPr>
            <w:tcW w:w="4730" w:type="dxa"/>
            <w:tcBorders>
              <w:top w:val="nil"/>
              <w:left w:val="nil"/>
              <w:bottom w:val="single" w:sz="4" w:space="0" w:color="auto"/>
              <w:right w:val="single" w:sz="4" w:space="0" w:color="auto"/>
            </w:tcBorders>
            <w:vAlign w:val="center"/>
            <w:hideMark/>
          </w:tcPr>
          <w:p w14:paraId="7A135228" w14:textId="77777777" w:rsidR="00F8110D" w:rsidRPr="00DA35A0" w:rsidRDefault="00F8110D" w:rsidP="00F8110D">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11.</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Use of sold products</w:t>
            </w:r>
          </w:p>
        </w:tc>
        <w:tc>
          <w:tcPr>
            <w:tcW w:w="1079" w:type="dxa"/>
            <w:tcBorders>
              <w:top w:val="nil"/>
              <w:left w:val="nil"/>
              <w:bottom w:val="single" w:sz="4" w:space="0" w:color="auto"/>
              <w:right w:val="single" w:sz="4" w:space="0" w:color="auto"/>
            </w:tcBorders>
            <w:vAlign w:val="center"/>
            <w:hideMark/>
          </w:tcPr>
          <w:p w14:paraId="5243C297" w14:textId="5F8015AD"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58,339</w:t>
            </w:r>
          </w:p>
        </w:tc>
        <w:tc>
          <w:tcPr>
            <w:tcW w:w="1196" w:type="dxa"/>
            <w:tcBorders>
              <w:top w:val="nil"/>
              <w:left w:val="nil"/>
              <w:bottom w:val="single" w:sz="4" w:space="0" w:color="auto"/>
              <w:right w:val="single" w:sz="4" w:space="0" w:color="auto"/>
            </w:tcBorders>
            <w:vAlign w:val="center"/>
            <w:hideMark/>
          </w:tcPr>
          <w:p w14:paraId="0C8CF0A7" w14:textId="71EBC300"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62,708</w:t>
            </w:r>
          </w:p>
        </w:tc>
        <w:tc>
          <w:tcPr>
            <w:tcW w:w="1196" w:type="dxa"/>
            <w:tcBorders>
              <w:top w:val="nil"/>
              <w:left w:val="nil"/>
              <w:bottom w:val="single" w:sz="4" w:space="0" w:color="auto"/>
              <w:right w:val="single" w:sz="4" w:space="0" w:color="auto"/>
            </w:tcBorders>
            <w:vAlign w:val="center"/>
            <w:hideMark/>
          </w:tcPr>
          <w:p w14:paraId="15F8E953" w14:textId="5942CA42"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63,908</w:t>
            </w:r>
          </w:p>
        </w:tc>
      </w:tr>
      <w:tr w:rsidR="00F8110D" w:rsidRPr="00CB3781" w14:paraId="3D705F70" w14:textId="77777777" w:rsidTr="000E1959">
        <w:trPr>
          <w:gridAfter w:val="1"/>
          <w:wAfter w:w="222" w:type="dxa"/>
          <w:trHeight w:val="449"/>
        </w:trPr>
        <w:tc>
          <w:tcPr>
            <w:tcW w:w="1077" w:type="dxa"/>
            <w:vMerge/>
            <w:tcBorders>
              <w:top w:val="nil"/>
              <w:left w:val="single" w:sz="4" w:space="0" w:color="auto"/>
              <w:bottom w:val="single" w:sz="4" w:space="0" w:color="auto"/>
              <w:right w:val="single" w:sz="4" w:space="0" w:color="auto"/>
            </w:tcBorders>
            <w:vAlign w:val="center"/>
            <w:hideMark/>
          </w:tcPr>
          <w:p w14:paraId="08B62822" w14:textId="77777777" w:rsidR="00F8110D" w:rsidRPr="00DA35A0" w:rsidRDefault="00F8110D" w:rsidP="00F8110D">
            <w:pPr>
              <w:spacing w:after="0" w:line="240" w:lineRule="auto"/>
              <w:rPr>
                <w:rFonts w:eastAsia="Times New Roman" w:cs="Times New Roman"/>
                <w:b/>
                <w:color w:val="44546A"/>
                <w:kern w:val="0"/>
                <w:sz w:val="20"/>
                <w:szCs w:val="20"/>
                <w:lang w:eastAsia="en-GB"/>
                <w14:ligatures w14:val="none"/>
              </w:rPr>
            </w:pPr>
          </w:p>
        </w:tc>
        <w:tc>
          <w:tcPr>
            <w:tcW w:w="4730" w:type="dxa"/>
            <w:vMerge w:val="restart"/>
            <w:tcBorders>
              <w:top w:val="nil"/>
              <w:left w:val="single" w:sz="4" w:space="0" w:color="auto"/>
              <w:bottom w:val="single" w:sz="4" w:space="0" w:color="auto"/>
              <w:right w:val="single" w:sz="4" w:space="0" w:color="auto"/>
            </w:tcBorders>
            <w:vAlign w:val="center"/>
            <w:hideMark/>
          </w:tcPr>
          <w:p w14:paraId="4F2E4417" w14:textId="77777777" w:rsidR="00F8110D" w:rsidRPr="00DA35A0" w:rsidRDefault="00F8110D" w:rsidP="00F8110D">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12.</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End-of-life treatment of sold products</w:t>
            </w:r>
          </w:p>
        </w:tc>
        <w:tc>
          <w:tcPr>
            <w:tcW w:w="1079" w:type="dxa"/>
            <w:vMerge w:val="restart"/>
            <w:tcBorders>
              <w:top w:val="nil"/>
              <w:left w:val="single" w:sz="4" w:space="0" w:color="auto"/>
              <w:bottom w:val="single" w:sz="4" w:space="0" w:color="000000"/>
              <w:right w:val="single" w:sz="4" w:space="0" w:color="auto"/>
            </w:tcBorders>
            <w:vAlign w:val="center"/>
            <w:hideMark/>
          </w:tcPr>
          <w:p w14:paraId="3CF718D9" w14:textId="462839ED"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25,21</w:t>
            </w:r>
            <w:r w:rsidR="00A346D5">
              <w:rPr>
                <w:color w:val="44546A"/>
                <w:sz w:val="20"/>
                <w:szCs w:val="20"/>
              </w:rPr>
              <w:t>1</w:t>
            </w:r>
          </w:p>
        </w:tc>
        <w:tc>
          <w:tcPr>
            <w:tcW w:w="1196" w:type="dxa"/>
            <w:vMerge w:val="restart"/>
            <w:tcBorders>
              <w:top w:val="nil"/>
              <w:left w:val="single" w:sz="4" w:space="0" w:color="auto"/>
              <w:bottom w:val="single" w:sz="4" w:space="0" w:color="000000"/>
              <w:right w:val="single" w:sz="4" w:space="0" w:color="auto"/>
            </w:tcBorders>
            <w:vAlign w:val="center"/>
            <w:hideMark/>
          </w:tcPr>
          <w:p w14:paraId="6E810549" w14:textId="19C6A502"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27,632</w:t>
            </w:r>
          </w:p>
        </w:tc>
        <w:tc>
          <w:tcPr>
            <w:tcW w:w="1196" w:type="dxa"/>
            <w:vMerge w:val="restart"/>
            <w:tcBorders>
              <w:top w:val="nil"/>
              <w:left w:val="single" w:sz="4" w:space="0" w:color="auto"/>
              <w:bottom w:val="single" w:sz="4" w:space="0" w:color="000000"/>
              <w:right w:val="single" w:sz="4" w:space="0" w:color="auto"/>
            </w:tcBorders>
            <w:vAlign w:val="center"/>
            <w:hideMark/>
          </w:tcPr>
          <w:p w14:paraId="66B4B428" w14:textId="5F67A91A" w:rsidR="00F8110D" w:rsidRPr="00DA35A0" w:rsidRDefault="00F8110D" w:rsidP="00835500">
            <w:pPr>
              <w:spacing w:after="0" w:line="240" w:lineRule="auto"/>
              <w:jc w:val="right"/>
              <w:rPr>
                <w:rFonts w:eastAsia="Times New Roman" w:cs="Times New Roman"/>
                <w:color w:val="44546A"/>
                <w:kern w:val="0"/>
                <w:sz w:val="20"/>
                <w:szCs w:val="20"/>
                <w:lang w:eastAsia="en-GB"/>
                <w14:ligatures w14:val="none"/>
              </w:rPr>
            </w:pPr>
            <w:r w:rsidRPr="00DA35A0">
              <w:rPr>
                <w:color w:val="44546A"/>
                <w:sz w:val="20"/>
                <w:szCs w:val="20"/>
              </w:rPr>
              <w:t>28,952</w:t>
            </w:r>
          </w:p>
        </w:tc>
      </w:tr>
      <w:tr w:rsidR="003455EB" w:rsidRPr="00CB3781" w14:paraId="1434FC1B" w14:textId="77777777" w:rsidTr="000E1959">
        <w:trPr>
          <w:trHeight w:val="70"/>
        </w:trPr>
        <w:tc>
          <w:tcPr>
            <w:tcW w:w="1077" w:type="dxa"/>
            <w:vMerge/>
            <w:tcBorders>
              <w:top w:val="nil"/>
              <w:left w:val="single" w:sz="4" w:space="0" w:color="auto"/>
              <w:bottom w:val="single" w:sz="4" w:space="0" w:color="auto"/>
              <w:right w:val="single" w:sz="4" w:space="0" w:color="auto"/>
            </w:tcBorders>
            <w:vAlign w:val="center"/>
            <w:hideMark/>
          </w:tcPr>
          <w:p w14:paraId="1B0A1DA9" w14:textId="77777777" w:rsidR="003455EB" w:rsidRPr="00DA35A0" w:rsidRDefault="003455EB" w:rsidP="003455EB">
            <w:pPr>
              <w:spacing w:after="0" w:line="240" w:lineRule="auto"/>
              <w:rPr>
                <w:rFonts w:eastAsia="Times New Roman" w:cs="Times New Roman"/>
                <w:b/>
                <w:color w:val="44546A"/>
                <w:kern w:val="0"/>
                <w:sz w:val="20"/>
                <w:szCs w:val="20"/>
                <w:lang w:eastAsia="en-GB"/>
                <w14:ligatures w14:val="none"/>
              </w:rPr>
            </w:pPr>
          </w:p>
        </w:tc>
        <w:tc>
          <w:tcPr>
            <w:tcW w:w="4730" w:type="dxa"/>
            <w:vMerge/>
            <w:tcBorders>
              <w:top w:val="nil"/>
              <w:left w:val="single" w:sz="4" w:space="0" w:color="auto"/>
              <w:bottom w:val="single" w:sz="4" w:space="0" w:color="auto"/>
              <w:right w:val="single" w:sz="4" w:space="0" w:color="auto"/>
            </w:tcBorders>
            <w:vAlign w:val="center"/>
            <w:hideMark/>
          </w:tcPr>
          <w:p w14:paraId="6E20AB4B" w14:textId="77777777" w:rsidR="003455EB" w:rsidRPr="00DA35A0" w:rsidRDefault="003455EB" w:rsidP="003455EB">
            <w:pPr>
              <w:spacing w:after="0" w:line="240" w:lineRule="auto"/>
              <w:rPr>
                <w:rFonts w:eastAsia="Times New Roman" w:cs="Times New Roman"/>
                <w:color w:val="44546A"/>
                <w:kern w:val="0"/>
                <w:sz w:val="20"/>
                <w:szCs w:val="20"/>
                <w:lang w:eastAsia="en-GB"/>
                <w14:ligatures w14:val="none"/>
              </w:rPr>
            </w:pPr>
          </w:p>
        </w:tc>
        <w:tc>
          <w:tcPr>
            <w:tcW w:w="1079" w:type="dxa"/>
            <w:vMerge/>
            <w:tcBorders>
              <w:top w:val="nil"/>
              <w:left w:val="single" w:sz="4" w:space="0" w:color="auto"/>
              <w:bottom w:val="single" w:sz="4" w:space="0" w:color="000000"/>
              <w:right w:val="single" w:sz="4" w:space="0" w:color="auto"/>
            </w:tcBorders>
            <w:hideMark/>
          </w:tcPr>
          <w:p w14:paraId="76584059" w14:textId="77777777"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p>
        </w:tc>
        <w:tc>
          <w:tcPr>
            <w:tcW w:w="1196" w:type="dxa"/>
            <w:vMerge/>
            <w:tcBorders>
              <w:top w:val="nil"/>
              <w:left w:val="single" w:sz="4" w:space="0" w:color="auto"/>
              <w:bottom w:val="single" w:sz="4" w:space="0" w:color="000000"/>
              <w:right w:val="single" w:sz="4" w:space="0" w:color="auto"/>
            </w:tcBorders>
            <w:vAlign w:val="center"/>
            <w:hideMark/>
          </w:tcPr>
          <w:p w14:paraId="32A989F3" w14:textId="77777777"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p>
        </w:tc>
        <w:tc>
          <w:tcPr>
            <w:tcW w:w="1196" w:type="dxa"/>
            <w:vMerge/>
            <w:tcBorders>
              <w:top w:val="nil"/>
              <w:left w:val="single" w:sz="4" w:space="0" w:color="auto"/>
              <w:bottom w:val="single" w:sz="4" w:space="0" w:color="000000"/>
              <w:right w:val="single" w:sz="4" w:space="0" w:color="auto"/>
            </w:tcBorders>
            <w:vAlign w:val="center"/>
            <w:hideMark/>
          </w:tcPr>
          <w:p w14:paraId="2D1DED3F" w14:textId="77777777"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p>
        </w:tc>
        <w:tc>
          <w:tcPr>
            <w:tcW w:w="222" w:type="dxa"/>
            <w:tcBorders>
              <w:top w:val="nil"/>
              <w:left w:val="nil"/>
              <w:bottom w:val="nil"/>
              <w:right w:val="nil"/>
            </w:tcBorders>
            <w:noWrap/>
            <w:vAlign w:val="bottom"/>
            <w:hideMark/>
          </w:tcPr>
          <w:p w14:paraId="702345AD" w14:textId="77777777" w:rsidR="003455EB" w:rsidRPr="00DA35A0" w:rsidRDefault="003455EB" w:rsidP="003455EB">
            <w:pPr>
              <w:spacing w:after="0" w:line="240" w:lineRule="auto"/>
              <w:jc w:val="center"/>
              <w:rPr>
                <w:rFonts w:eastAsia="Times New Roman" w:cs="Times New Roman"/>
                <w:color w:val="44546A"/>
                <w:kern w:val="0"/>
                <w:sz w:val="20"/>
                <w:szCs w:val="20"/>
                <w:lang w:eastAsia="en-GB"/>
                <w14:ligatures w14:val="none"/>
              </w:rPr>
            </w:pPr>
          </w:p>
        </w:tc>
      </w:tr>
      <w:tr w:rsidR="003455EB" w:rsidRPr="00CB3781" w14:paraId="56F887D4" w14:textId="77777777" w:rsidTr="000E1959">
        <w:trPr>
          <w:trHeight w:val="300"/>
        </w:trPr>
        <w:tc>
          <w:tcPr>
            <w:tcW w:w="1077" w:type="dxa"/>
            <w:vMerge/>
            <w:tcBorders>
              <w:top w:val="nil"/>
              <w:left w:val="single" w:sz="4" w:space="0" w:color="auto"/>
              <w:bottom w:val="single" w:sz="4" w:space="0" w:color="auto"/>
              <w:right w:val="single" w:sz="4" w:space="0" w:color="auto"/>
            </w:tcBorders>
            <w:vAlign w:val="center"/>
            <w:hideMark/>
          </w:tcPr>
          <w:p w14:paraId="4FB84DD5" w14:textId="77777777" w:rsidR="003455EB" w:rsidRPr="00DA35A0" w:rsidRDefault="003455EB" w:rsidP="003455EB">
            <w:pPr>
              <w:spacing w:after="0" w:line="240" w:lineRule="auto"/>
              <w:rPr>
                <w:rFonts w:eastAsia="Times New Roman" w:cs="Times New Roman"/>
                <w:b/>
                <w:color w:val="44546A"/>
                <w:kern w:val="0"/>
                <w:sz w:val="20"/>
                <w:szCs w:val="20"/>
                <w:lang w:eastAsia="en-GB"/>
                <w14:ligatures w14:val="none"/>
              </w:rPr>
            </w:pPr>
          </w:p>
        </w:tc>
        <w:tc>
          <w:tcPr>
            <w:tcW w:w="4730" w:type="dxa"/>
            <w:tcBorders>
              <w:top w:val="nil"/>
              <w:left w:val="nil"/>
              <w:bottom w:val="single" w:sz="4" w:space="0" w:color="auto"/>
              <w:right w:val="single" w:sz="4" w:space="0" w:color="auto"/>
            </w:tcBorders>
            <w:vAlign w:val="center"/>
            <w:hideMark/>
          </w:tcPr>
          <w:p w14:paraId="6C8EBCCB" w14:textId="77777777" w:rsidR="003455EB" w:rsidRPr="00DA35A0" w:rsidRDefault="003455EB" w:rsidP="003455EB">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13.</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Downstream leased assets*</w:t>
            </w:r>
          </w:p>
        </w:tc>
        <w:tc>
          <w:tcPr>
            <w:tcW w:w="1079" w:type="dxa"/>
            <w:tcBorders>
              <w:top w:val="nil"/>
              <w:left w:val="nil"/>
              <w:bottom w:val="single" w:sz="4" w:space="0" w:color="auto"/>
              <w:right w:val="single" w:sz="4" w:space="0" w:color="auto"/>
            </w:tcBorders>
            <w:hideMark/>
          </w:tcPr>
          <w:p w14:paraId="3AED9E79" w14:textId="04AA7B95"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r w:rsidRPr="00DA35A0">
              <w:rPr>
                <w:rFonts w:eastAsia="Times New Roman" w:cs="Times New Roman"/>
                <w:color w:val="44546A"/>
                <w:kern w:val="0"/>
                <w:sz w:val="20"/>
                <w:szCs w:val="20"/>
                <w:lang w:eastAsia="en-GB"/>
                <w14:ligatures w14:val="none"/>
              </w:rPr>
              <w:t>-</w:t>
            </w:r>
          </w:p>
        </w:tc>
        <w:tc>
          <w:tcPr>
            <w:tcW w:w="1196" w:type="dxa"/>
            <w:tcBorders>
              <w:top w:val="nil"/>
              <w:left w:val="nil"/>
              <w:bottom w:val="single" w:sz="4" w:space="0" w:color="auto"/>
              <w:right w:val="single" w:sz="4" w:space="0" w:color="auto"/>
            </w:tcBorders>
            <w:vAlign w:val="center"/>
            <w:hideMark/>
          </w:tcPr>
          <w:p w14:paraId="48E562FF" w14:textId="77777777"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r w:rsidRPr="00DA35A0">
              <w:rPr>
                <w:rFonts w:eastAsia="Times New Roman" w:cs="Times New Roman"/>
                <w:color w:val="44546A"/>
                <w:kern w:val="0"/>
                <w:sz w:val="20"/>
                <w:szCs w:val="20"/>
                <w:lang w:eastAsia="en-GB"/>
                <w14:ligatures w14:val="none"/>
              </w:rPr>
              <w:t>-</w:t>
            </w:r>
          </w:p>
        </w:tc>
        <w:tc>
          <w:tcPr>
            <w:tcW w:w="1196" w:type="dxa"/>
            <w:tcBorders>
              <w:top w:val="nil"/>
              <w:left w:val="nil"/>
              <w:bottom w:val="single" w:sz="4" w:space="0" w:color="auto"/>
              <w:right w:val="single" w:sz="4" w:space="0" w:color="auto"/>
            </w:tcBorders>
            <w:vAlign w:val="center"/>
            <w:hideMark/>
          </w:tcPr>
          <w:p w14:paraId="23139EB7" w14:textId="77777777"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r w:rsidRPr="00DA35A0">
              <w:rPr>
                <w:rFonts w:eastAsia="Times New Roman" w:cs="Times New Roman"/>
                <w:color w:val="44546A"/>
                <w:kern w:val="0"/>
                <w:sz w:val="20"/>
                <w:szCs w:val="20"/>
                <w:lang w:eastAsia="en-GB"/>
                <w14:ligatures w14:val="none"/>
              </w:rPr>
              <w:t>-</w:t>
            </w:r>
          </w:p>
        </w:tc>
        <w:tc>
          <w:tcPr>
            <w:tcW w:w="222" w:type="dxa"/>
            <w:vAlign w:val="center"/>
            <w:hideMark/>
          </w:tcPr>
          <w:p w14:paraId="42BC904C" w14:textId="77777777" w:rsidR="003455EB" w:rsidRPr="00CB3781" w:rsidRDefault="003455EB" w:rsidP="003455EB">
            <w:pPr>
              <w:spacing w:after="0" w:line="240" w:lineRule="auto"/>
              <w:rPr>
                <w:rFonts w:ascii="Times New Roman" w:eastAsia="Times New Roman" w:hAnsi="Times New Roman" w:cs="Times New Roman"/>
                <w:kern w:val="0"/>
                <w:sz w:val="20"/>
                <w:szCs w:val="20"/>
                <w:lang w:eastAsia="en-GB"/>
                <w14:ligatures w14:val="none"/>
              </w:rPr>
            </w:pPr>
          </w:p>
        </w:tc>
      </w:tr>
      <w:tr w:rsidR="003455EB" w:rsidRPr="00CB3781" w14:paraId="56E29B9B" w14:textId="77777777" w:rsidTr="000E1959">
        <w:trPr>
          <w:trHeight w:val="300"/>
        </w:trPr>
        <w:tc>
          <w:tcPr>
            <w:tcW w:w="1077" w:type="dxa"/>
            <w:vMerge/>
            <w:tcBorders>
              <w:top w:val="nil"/>
              <w:left w:val="single" w:sz="4" w:space="0" w:color="auto"/>
              <w:bottom w:val="single" w:sz="4" w:space="0" w:color="auto"/>
              <w:right w:val="single" w:sz="4" w:space="0" w:color="auto"/>
            </w:tcBorders>
            <w:vAlign w:val="center"/>
            <w:hideMark/>
          </w:tcPr>
          <w:p w14:paraId="177FB027" w14:textId="77777777" w:rsidR="003455EB" w:rsidRPr="00DA35A0" w:rsidRDefault="003455EB" w:rsidP="003455EB">
            <w:pPr>
              <w:spacing w:after="0" w:line="240" w:lineRule="auto"/>
              <w:rPr>
                <w:rFonts w:eastAsia="Times New Roman" w:cs="Times New Roman"/>
                <w:b/>
                <w:color w:val="44546A"/>
                <w:kern w:val="0"/>
                <w:sz w:val="20"/>
                <w:szCs w:val="20"/>
                <w:lang w:eastAsia="en-GB"/>
                <w14:ligatures w14:val="none"/>
              </w:rPr>
            </w:pPr>
          </w:p>
        </w:tc>
        <w:tc>
          <w:tcPr>
            <w:tcW w:w="4730" w:type="dxa"/>
            <w:tcBorders>
              <w:top w:val="nil"/>
              <w:left w:val="nil"/>
              <w:bottom w:val="single" w:sz="4" w:space="0" w:color="auto"/>
              <w:right w:val="single" w:sz="4" w:space="0" w:color="auto"/>
            </w:tcBorders>
            <w:vAlign w:val="center"/>
            <w:hideMark/>
          </w:tcPr>
          <w:p w14:paraId="18957D5F" w14:textId="77777777" w:rsidR="003455EB" w:rsidRPr="00DA35A0" w:rsidRDefault="003455EB" w:rsidP="003455EB">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14.</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Franchises*</w:t>
            </w:r>
          </w:p>
        </w:tc>
        <w:tc>
          <w:tcPr>
            <w:tcW w:w="1079" w:type="dxa"/>
            <w:tcBorders>
              <w:top w:val="nil"/>
              <w:left w:val="nil"/>
              <w:bottom w:val="single" w:sz="4" w:space="0" w:color="auto"/>
              <w:right w:val="single" w:sz="4" w:space="0" w:color="auto"/>
            </w:tcBorders>
            <w:hideMark/>
          </w:tcPr>
          <w:p w14:paraId="39F757A4" w14:textId="750CEFED"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r w:rsidRPr="00DA35A0">
              <w:rPr>
                <w:rFonts w:eastAsia="Times New Roman" w:cs="Times New Roman"/>
                <w:color w:val="44546A"/>
                <w:kern w:val="0"/>
                <w:sz w:val="20"/>
                <w:szCs w:val="20"/>
                <w:lang w:eastAsia="en-GB"/>
                <w14:ligatures w14:val="none"/>
              </w:rPr>
              <w:t>-</w:t>
            </w:r>
          </w:p>
        </w:tc>
        <w:tc>
          <w:tcPr>
            <w:tcW w:w="1196" w:type="dxa"/>
            <w:tcBorders>
              <w:top w:val="nil"/>
              <w:left w:val="nil"/>
              <w:bottom w:val="single" w:sz="4" w:space="0" w:color="auto"/>
              <w:right w:val="single" w:sz="4" w:space="0" w:color="auto"/>
            </w:tcBorders>
            <w:vAlign w:val="center"/>
            <w:hideMark/>
          </w:tcPr>
          <w:p w14:paraId="60E9F5E8" w14:textId="77777777"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r w:rsidRPr="00DA35A0">
              <w:rPr>
                <w:rFonts w:eastAsia="Times New Roman" w:cs="Times New Roman"/>
                <w:color w:val="44546A"/>
                <w:kern w:val="0"/>
                <w:sz w:val="20"/>
                <w:szCs w:val="20"/>
                <w:lang w:eastAsia="en-GB"/>
                <w14:ligatures w14:val="none"/>
              </w:rPr>
              <w:t>-</w:t>
            </w:r>
          </w:p>
        </w:tc>
        <w:tc>
          <w:tcPr>
            <w:tcW w:w="1196" w:type="dxa"/>
            <w:tcBorders>
              <w:top w:val="nil"/>
              <w:left w:val="nil"/>
              <w:bottom w:val="single" w:sz="4" w:space="0" w:color="auto"/>
              <w:right w:val="single" w:sz="4" w:space="0" w:color="auto"/>
            </w:tcBorders>
            <w:vAlign w:val="center"/>
            <w:hideMark/>
          </w:tcPr>
          <w:p w14:paraId="0A8BC27D" w14:textId="77777777"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r w:rsidRPr="00DA35A0">
              <w:rPr>
                <w:rFonts w:eastAsia="Times New Roman" w:cs="Times New Roman"/>
                <w:color w:val="44546A"/>
                <w:kern w:val="0"/>
                <w:sz w:val="20"/>
                <w:szCs w:val="20"/>
                <w:lang w:eastAsia="en-GB"/>
                <w14:ligatures w14:val="none"/>
              </w:rPr>
              <w:t>-</w:t>
            </w:r>
          </w:p>
        </w:tc>
        <w:tc>
          <w:tcPr>
            <w:tcW w:w="222" w:type="dxa"/>
            <w:vAlign w:val="center"/>
            <w:hideMark/>
          </w:tcPr>
          <w:p w14:paraId="2EB0FCE5" w14:textId="77777777" w:rsidR="003455EB" w:rsidRPr="00CB3781" w:rsidRDefault="003455EB" w:rsidP="003455EB">
            <w:pPr>
              <w:spacing w:after="0" w:line="240" w:lineRule="auto"/>
              <w:rPr>
                <w:rFonts w:ascii="Times New Roman" w:eastAsia="Times New Roman" w:hAnsi="Times New Roman" w:cs="Times New Roman"/>
                <w:kern w:val="0"/>
                <w:sz w:val="20"/>
                <w:szCs w:val="20"/>
                <w:lang w:eastAsia="en-GB"/>
                <w14:ligatures w14:val="none"/>
              </w:rPr>
            </w:pPr>
          </w:p>
        </w:tc>
      </w:tr>
      <w:tr w:rsidR="003455EB" w:rsidRPr="00CB3781" w14:paraId="7339CF5A" w14:textId="77777777" w:rsidTr="000E1959">
        <w:trPr>
          <w:trHeight w:val="300"/>
        </w:trPr>
        <w:tc>
          <w:tcPr>
            <w:tcW w:w="1077" w:type="dxa"/>
            <w:vMerge/>
            <w:tcBorders>
              <w:top w:val="nil"/>
              <w:left w:val="single" w:sz="4" w:space="0" w:color="auto"/>
              <w:bottom w:val="single" w:sz="4" w:space="0" w:color="auto"/>
              <w:right w:val="single" w:sz="4" w:space="0" w:color="auto"/>
            </w:tcBorders>
            <w:vAlign w:val="center"/>
            <w:hideMark/>
          </w:tcPr>
          <w:p w14:paraId="4E786EE9" w14:textId="77777777" w:rsidR="003455EB" w:rsidRPr="00DA35A0" w:rsidRDefault="003455EB" w:rsidP="003455EB">
            <w:pPr>
              <w:spacing w:after="0" w:line="240" w:lineRule="auto"/>
              <w:rPr>
                <w:rFonts w:eastAsia="Times New Roman" w:cs="Times New Roman"/>
                <w:b/>
                <w:color w:val="44546A"/>
                <w:kern w:val="0"/>
                <w:sz w:val="20"/>
                <w:szCs w:val="20"/>
                <w:lang w:eastAsia="en-GB"/>
                <w14:ligatures w14:val="none"/>
              </w:rPr>
            </w:pPr>
          </w:p>
        </w:tc>
        <w:tc>
          <w:tcPr>
            <w:tcW w:w="4730" w:type="dxa"/>
            <w:tcBorders>
              <w:top w:val="nil"/>
              <w:left w:val="nil"/>
              <w:bottom w:val="single" w:sz="4" w:space="0" w:color="auto"/>
              <w:right w:val="single" w:sz="4" w:space="0" w:color="auto"/>
            </w:tcBorders>
            <w:vAlign w:val="center"/>
            <w:hideMark/>
          </w:tcPr>
          <w:p w14:paraId="7D43C62B" w14:textId="77777777" w:rsidR="003455EB" w:rsidRPr="00DA35A0" w:rsidRDefault="003455EB" w:rsidP="003455EB">
            <w:pPr>
              <w:spacing w:after="0" w:line="240" w:lineRule="auto"/>
              <w:jc w:val="both"/>
              <w:rPr>
                <w:rFonts w:eastAsia="Times New Roman" w:cs="Times New Roman"/>
                <w:color w:val="44546A"/>
                <w:kern w:val="0"/>
                <w:sz w:val="20"/>
                <w:szCs w:val="20"/>
                <w:lang w:eastAsia="en-GB"/>
                <w14:ligatures w14:val="none"/>
              </w:rPr>
            </w:pPr>
            <w:r w:rsidRPr="00DA35A0">
              <w:rPr>
                <w:rFonts w:eastAsia="Verdana" w:cs="Verdana"/>
                <w:color w:val="44546A" w:themeColor="text2"/>
                <w:kern w:val="0"/>
                <w:sz w:val="20"/>
                <w:szCs w:val="20"/>
                <w:lang w:eastAsia="en-GB"/>
                <w14:ligatures w14:val="none"/>
              </w:rPr>
              <w:t>15.</w:t>
            </w:r>
            <w:r w:rsidRPr="00DA35A0">
              <w:rPr>
                <w:rFonts w:ascii="Times New Roman" w:eastAsia="Verdana" w:hAnsi="Times New Roman" w:cs="Times New Roman"/>
                <w:color w:val="44546A"/>
                <w:kern w:val="0"/>
                <w:sz w:val="20"/>
                <w:szCs w:val="20"/>
                <w:lang w:eastAsia="en-GB"/>
                <w14:ligatures w14:val="none"/>
              </w:rPr>
              <w:t xml:space="preserve">    </w:t>
            </w:r>
            <w:r w:rsidRPr="00DA35A0">
              <w:rPr>
                <w:rFonts w:eastAsia="Verdana" w:cs="Verdana"/>
                <w:color w:val="44546A"/>
                <w:kern w:val="0"/>
                <w:sz w:val="20"/>
                <w:szCs w:val="20"/>
                <w:lang w:eastAsia="en-GB"/>
                <w14:ligatures w14:val="none"/>
              </w:rPr>
              <w:t>Investments*</w:t>
            </w:r>
          </w:p>
        </w:tc>
        <w:tc>
          <w:tcPr>
            <w:tcW w:w="1079" w:type="dxa"/>
            <w:tcBorders>
              <w:top w:val="nil"/>
              <w:left w:val="nil"/>
              <w:bottom w:val="single" w:sz="4" w:space="0" w:color="auto"/>
              <w:right w:val="single" w:sz="4" w:space="0" w:color="auto"/>
            </w:tcBorders>
            <w:hideMark/>
          </w:tcPr>
          <w:p w14:paraId="2C16648C" w14:textId="73837B5F"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r w:rsidRPr="00DA35A0">
              <w:rPr>
                <w:rFonts w:eastAsia="Times New Roman" w:cs="Times New Roman"/>
                <w:color w:val="44546A"/>
                <w:kern w:val="0"/>
                <w:sz w:val="20"/>
                <w:szCs w:val="20"/>
                <w:lang w:eastAsia="en-GB"/>
                <w14:ligatures w14:val="none"/>
              </w:rPr>
              <w:t>-</w:t>
            </w:r>
          </w:p>
        </w:tc>
        <w:tc>
          <w:tcPr>
            <w:tcW w:w="1196" w:type="dxa"/>
            <w:tcBorders>
              <w:top w:val="nil"/>
              <w:left w:val="nil"/>
              <w:bottom w:val="single" w:sz="4" w:space="0" w:color="auto"/>
              <w:right w:val="single" w:sz="4" w:space="0" w:color="auto"/>
            </w:tcBorders>
            <w:vAlign w:val="center"/>
            <w:hideMark/>
          </w:tcPr>
          <w:p w14:paraId="721C0B53" w14:textId="77777777"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r w:rsidRPr="00DA35A0">
              <w:rPr>
                <w:rFonts w:eastAsia="Times New Roman" w:cs="Times New Roman"/>
                <w:color w:val="44546A"/>
                <w:kern w:val="0"/>
                <w:sz w:val="20"/>
                <w:szCs w:val="20"/>
                <w:lang w:eastAsia="en-GB"/>
                <w14:ligatures w14:val="none"/>
              </w:rPr>
              <w:t>-</w:t>
            </w:r>
          </w:p>
        </w:tc>
        <w:tc>
          <w:tcPr>
            <w:tcW w:w="1196" w:type="dxa"/>
            <w:tcBorders>
              <w:top w:val="nil"/>
              <w:left w:val="nil"/>
              <w:bottom w:val="single" w:sz="4" w:space="0" w:color="auto"/>
              <w:right w:val="single" w:sz="4" w:space="0" w:color="auto"/>
            </w:tcBorders>
            <w:vAlign w:val="center"/>
            <w:hideMark/>
          </w:tcPr>
          <w:p w14:paraId="38EB5F65" w14:textId="77777777" w:rsidR="003455EB" w:rsidRPr="00DA35A0" w:rsidRDefault="003455EB" w:rsidP="00835500">
            <w:pPr>
              <w:spacing w:after="0" w:line="240" w:lineRule="auto"/>
              <w:jc w:val="right"/>
              <w:rPr>
                <w:rFonts w:eastAsia="Times New Roman" w:cs="Times New Roman"/>
                <w:color w:val="44546A"/>
                <w:kern w:val="0"/>
                <w:sz w:val="20"/>
                <w:szCs w:val="20"/>
                <w:lang w:eastAsia="en-GB"/>
                <w14:ligatures w14:val="none"/>
              </w:rPr>
            </w:pPr>
            <w:r w:rsidRPr="00DA35A0">
              <w:rPr>
                <w:rFonts w:eastAsia="Times New Roman" w:cs="Times New Roman"/>
                <w:color w:val="44546A"/>
                <w:kern w:val="0"/>
                <w:sz w:val="20"/>
                <w:szCs w:val="20"/>
                <w:lang w:eastAsia="en-GB"/>
                <w14:ligatures w14:val="none"/>
              </w:rPr>
              <w:t>-</w:t>
            </w:r>
          </w:p>
        </w:tc>
        <w:tc>
          <w:tcPr>
            <w:tcW w:w="222" w:type="dxa"/>
            <w:vAlign w:val="center"/>
            <w:hideMark/>
          </w:tcPr>
          <w:p w14:paraId="38B7836D" w14:textId="77777777" w:rsidR="003455EB" w:rsidRPr="00CB3781" w:rsidRDefault="003455EB" w:rsidP="003455EB">
            <w:pPr>
              <w:spacing w:after="0" w:line="240" w:lineRule="auto"/>
              <w:rPr>
                <w:rFonts w:ascii="Times New Roman" w:eastAsia="Times New Roman" w:hAnsi="Times New Roman" w:cs="Times New Roman"/>
                <w:kern w:val="0"/>
                <w:sz w:val="20"/>
                <w:szCs w:val="20"/>
                <w:lang w:eastAsia="en-GB"/>
                <w14:ligatures w14:val="none"/>
              </w:rPr>
            </w:pPr>
          </w:p>
        </w:tc>
      </w:tr>
      <w:tr w:rsidR="00F8110D" w:rsidRPr="00CB3781" w14:paraId="73289314" w14:textId="77777777" w:rsidTr="000E1959">
        <w:trPr>
          <w:trHeight w:val="300"/>
        </w:trPr>
        <w:tc>
          <w:tcPr>
            <w:tcW w:w="5807" w:type="dxa"/>
            <w:gridSpan w:val="2"/>
            <w:tcBorders>
              <w:top w:val="single" w:sz="4" w:space="0" w:color="auto"/>
              <w:left w:val="single" w:sz="4" w:space="0" w:color="auto"/>
              <w:bottom w:val="single" w:sz="4" w:space="0" w:color="auto"/>
              <w:right w:val="single" w:sz="4" w:space="0" w:color="auto"/>
            </w:tcBorders>
            <w:vAlign w:val="center"/>
            <w:hideMark/>
          </w:tcPr>
          <w:p w14:paraId="0BD498F9" w14:textId="77777777" w:rsidR="00F8110D" w:rsidRPr="00DA35A0" w:rsidRDefault="00F8110D" w:rsidP="00F8110D">
            <w:pPr>
              <w:spacing w:after="0" w:line="240" w:lineRule="auto"/>
              <w:jc w:val="both"/>
              <w:rPr>
                <w:rFonts w:eastAsia="Times New Roman" w:cs="Times New Roman"/>
                <w:b/>
                <w:color w:val="44546A"/>
                <w:kern w:val="0"/>
                <w:sz w:val="20"/>
                <w:szCs w:val="20"/>
                <w:lang w:eastAsia="en-GB"/>
                <w14:ligatures w14:val="none"/>
              </w:rPr>
            </w:pPr>
            <w:r w:rsidRPr="00DA35A0">
              <w:rPr>
                <w:rFonts w:eastAsia="Times New Roman" w:cs="Times New Roman"/>
                <w:b/>
                <w:color w:val="44546A" w:themeColor="text2"/>
                <w:kern w:val="0"/>
                <w:sz w:val="20"/>
                <w:szCs w:val="20"/>
                <w:lang w:eastAsia="en-GB"/>
                <w14:ligatures w14:val="none"/>
              </w:rPr>
              <w:t>Total Scope 3 GHG emissions</w:t>
            </w:r>
          </w:p>
        </w:tc>
        <w:tc>
          <w:tcPr>
            <w:tcW w:w="1079" w:type="dxa"/>
            <w:tcBorders>
              <w:top w:val="nil"/>
              <w:left w:val="nil"/>
              <w:bottom w:val="single" w:sz="4" w:space="0" w:color="auto"/>
              <w:right w:val="single" w:sz="4" w:space="0" w:color="auto"/>
            </w:tcBorders>
            <w:vAlign w:val="center"/>
            <w:hideMark/>
          </w:tcPr>
          <w:p w14:paraId="75FD43DF" w14:textId="66429A7C" w:rsidR="00F8110D" w:rsidRPr="00DA35A0" w:rsidRDefault="00F8110D" w:rsidP="00835500">
            <w:pPr>
              <w:spacing w:after="0" w:line="240" w:lineRule="auto"/>
              <w:jc w:val="right"/>
              <w:rPr>
                <w:rFonts w:eastAsia="Times New Roman" w:cs="Times New Roman"/>
                <w:b/>
                <w:color w:val="44546A"/>
                <w:kern w:val="0"/>
                <w:sz w:val="20"/>
                <w:szCs w:val="20"/>
                <w:lang w:eastAsia="en-GB"/>
                <w14:ligatures w14:val="none"/>
              </w:rPr>
            </w:pPr>
            <w:r w:rsidRPr="00DA35A0">
              <w:rPr>
                <w:b/>
                <w:color w:val="44546A"/>
                <w:sz w:val="20"/>
                <w:szCs w:val="20"/>
              </w:rPr>
              <w:t>240,771</w:t>
            </w:r>
          </w:p>
        </w:tc>
        <w:tc>
          <w:tcPr>
            <w:tcW w:w="1196" w:type="dxa"/>
            <w:tcBorders>
              <w:top w:val="nil"/>
              <w:left w:val="nil"/>
              <w:bottom w:val="single" w:sz="4" w:space="0" w:color="auto"/>
              <w:right w:val="single" w:sz="4" w:space="0" w:color="auto"/>
            </w:tcBorders>
            <w:vAlign w:val="center"/>
            <w:hideMark/>
          </w:tcPr>
          <w:p w14:paraId="1021C3CA" w14:textId="6D0675B1" w:rsidR="00F8110D" w:rsidRPr="00DA35A0" w:rsidRDefault="00F8110D" w:rsidP="00835500">
            <w:pPr>
              <w:spacing w:after="0" w:line="240" w:lineRule="auto"/>
              <w:jc w:val="right"/>
              <w:rPr>
                <w:rFonts w:eastAsia="Times New Roman" w:cs="Times New Roman"/>
                <w:b/>
                <w:color w:val="44546A"/>
                <w:kern w:val="0"/>
                <w:sz w:val="20"/>
                <w:szCs w:val="20"/>
                <w:lang w:eastAsia="en-GB"/>
                <w14:ligatures w14:val="none"/>
              </w:rPr>
            </w:pPr>
            <w:r w:rsidRPr="00DA35A0">
              <w:rPr>
                <w:b/>
                <w:color w:val="44546A"/>
                <w:sz w:val="20"/>
                <w:szCs w:val="20"/>
              </w:rPr>
              <w:t>269,828</w:t>
            </w:r>
          </w:p>
        </w:tc>
        <w:tc>
          <w:tcPr>
            <w:tcW w:w="1196" w:type="dxa"/>
            <w:tcBorders>
              <w:top w:val="nil"/>
              <w:left w:val="nil"/>
              <w:bottom w:val="single" w:sz="4" w:space="0" w:color="auto"/>
              <w:right w:val="single" w:sz="4" w:space="0" w:color="auto"/>
            </w:tcBorders>
            <w:vAlign w:val="center"/>
            <w:hideMark/>
          </w:tcPr>
          <w:p w14:paraId="7A60E6EF" w14:textId="7EF83B6F" w:rsidR="00F8110D" w:rsidRPr="00DA35A0" w:rsidRDefault="00F8110D" w:rsidP="00835500">
            <w:pPr>
              <w:spacing w:after="0" w:line="240" w:lineRule="auto"/>
              <w:jc w:val="right"/>
              <w:rPr>
                <w:rFonts w:eastAsia="Times New Roman" w:cs="Times New Roman"/>
                <w:b/>
                <w:color w:val="44546A"/>
                <w:kern w:val="0"/>
                <w:sz w:val="20"/>
                <w:szCs w:val="20"/>
                <w:lang w:eastAsia="en-GB"/>
                <w14:ligatures w14:val="none"/>
              </w:rPr>
            </w:pPr>
            <w:r w:rsidRPr="00DA35A0">
              <w:rPr>
                <w:b/>
                <w:color w:val="44546A"/>
                <w:sz w:val="20"/>
                <w:szCs w:val="20"/>
              </w:rPr>
              <w:t>265,373</w:t>
            </w:r>
          </w:p>
        </w:tc>
        <w:tc>
          <w:tcPr>
            <w:tcW w:w="222" w:type="dxa"/>
            <w:vAlign w:val="center"/>
            <w:hideMark/>
          </w:tcPr>
          <w:p w14:paraId="728854C2" w14:textId="77777777" w:rsidR="00F8110D" w:rsidRPr="00CB3781" w:rsidRDefault="00F8110D" w:rsidP="00F8110D">
            <w:pPr>
              <w:spacing w:after="0" w:line="240" w:lineRule="auto"/>
              <w:rPr>
                <w:rFonts w:ascii="Times New Roman" w:eastAsia="Times New Roman" w:hAnsi="Times New Roman" w:cs="Times New Roman"/>
                <w:kern w:val="0"/>
                <w:sz w:val="20"/>
                <w:szCs w:val="20"/>
                <w:lang w:eastAsia="en-GB"/>
                <w14:ligatures w14:val="none"/>
              </w:rPr>
            </w:pPr>
          </w:p>
        </w:tc>
      </w:tr>
    </w:tbl>
    <w:p w14:paraId="6BF7D7BE" w14:textId="77777777" w:rsidR="00B27DD5" w:rsidRDefault="00B27DD5" w:rsidP="00670E32">
      <w:pPr>
        <w:pStyle w:val="FootnoteText"/>
        <w:rPr>
          <w:color w:val="44546A" w:themeColor="text2"/>
          <w:sz w:val="22"/>
          <w:szCs w:val="22"/>
        </w:rPr>
      </w:pPr>
    </w:p>
    <w:p w14:paraId="74B988E4" w14:textId="4A61C32A" w:rsidR="00670E32" w:rsidRPr="007D3C79" w:rsidRDefault="009D3461" w:rsidP="00670E32">
      <w:pPr>
        <w:pStyle w:val="FootnoteText"/>
        <w:rPr>
          <w:color w:val="44546A" w:themeColor="text2"/>
          <w:sz w:val="22"/>
          <w:szCs w:val="22"/>
        </w:rPr>
      </w:pPr>
      <w:r w:rsidRPr="007D3C79">
        <w:rPr>
          <w:color w:val="44546A" w:themeColor="text2"/>
          <w:sz w:val="22"/>
          <w:szCs w:val="22"/>
        </w:rPr>
        <w:t>*</w:t>
      </w:r>
      <w:r w:rsidR="00670E32" w:rsidRPr="007D3C79">
        <w:rPr>
          <w:color w:val="44546A" w:themeColor="text2"/>
          <w:sz w:val="22"/>
          <w:szCs w:val="22"/>
        </w:rPr>
        <w:t xml:space="preserve"> </w:t>
      </w:r>
      <w:r w:rsidR="00F028C9" w:rsidRPr="007D3C79">
        <w:rPr>
          <w:color w:val="44546A" w:themeColor="text2"/>
          <w:sz w:val="22"/>
          <w:szCs w:val="22"/>
        </w:rPr>
        <w:t>Categories 8,</w:t>
      </w:r>
      <w:r w:rsidR="00835500">
        <w:rPr>
          <w:color w:val="44546A" w:themeColor="text2"/>
          <w:sz w:val="22"/>
          <w:szCs w:val="22"/>
        </w:rPr>
        <w:t xml:space="preserve"> </w:t>
      </w:r>
      <w:r w:rsidR="00F028C9" w:rsidRPr="007D3C79">
        <w:rPr>
          <w:color w:val="44546A" w:themeColor="text2"/>
          <w:sz w:val="22"/>
          <w:szCs w:val="22"/>
        </w:rPr>
        <w:t>13,</w:t>
      </w:r>
      <w:r w:rsidR="00835500">
        <w:rPr>
          <w:color w:val="44546A" w:themeColor="text2"/>
          <w:sz w:val="22"/>
          <w:szCs w:val="22"/>
        </w:rPr>
        <w:t xml:space="preserve"> </w:t>
      </w:r>
      <w:r w:rsidR="00F028C9" w:rsidRPr="007D3C79">
        <w:rPr>
          <w:color w:val="44546A" w:themeColor="text2"/>
          <w:sz w:val="22"/>
          <w:szCs w:val="22"/>
        </w:rPr>
        <w:t>14 &amp; 15 show zero emissions</w:t>
      </w:r>
      <w:r w:rsidR="00670E32" w:rsidRPr="007D3C79">
        <w:rPr>
          <w:color w:val="44546A" w:themeColor="text2"/>
          <w:sz w:val="22"/>
          <w:szCs w:val="22"/>
        </w:rPr>
        <w:t xml:space="preserve"> as they are either not applicable or material to our operations. </w:t>
      </w:r>
    </w:p>
    <w:p w14:paraId="28936E54" w14:textId="5D9E4472" w:rsidR="00D00BC1" w:rsidRPr="000C38F7" w:rsidRDefault="00D00BC1" w:rsidP="000C38F7">
      <w:pPr>
        <w:pStyle w:val="Heading2"/>
      </w:pPr>
      <w:bookmarkStart w:id="12" w:name="_Toc194670369"/>
      <w:r w:rsidRPr="000C38F7">
        <w:lastRenderedPageBreak/>
        <w:t xml:space="preserve">Scope 3 </w:t>
      </w:r>
      <w:r w:rsidR="00DC11C7">
        <w:t>e</w:t>
      </w:r>
      <w:r w:rsidRPr="000C38F7">
        <w:t xml:space="preserve">missions </w:t>
      </w:r>
      <w:r w:rsidR="008E7912">
        <w:t>m</w:t>
      </w:r>
      <w:r w:rsidRPr="000C38F7">
        <w:t>ethodology details</w:t>
      </w:r>
      <w:bookmarkEnd w:id="12"/>
    </w:p>
    <w:p w14:paraId="7393B3C5" w14:textId="270542FD" w:rsidR="00F65FA8" w:rsidRPr="00C93BB2" w:rsidRDefault="000816B0" w:rsidP="00C93BB2">
      <w:pPr>
        <w:pStyle w:val="Heading3"/>
      </w:pPr>
      <w:bookmarkStart w:id="13" w:name="_Toc194670370"/>
      <w:r w:rsidRPr="008F0D85">
        <w:t>Category 1</w:t>
      </w:r>
      <w:r w:rsidR="00BE1EBB" w:rsidRPr="008F0D85">
        <w:t xml:space="preserve"> - </w:t>
      </w:r>
      <w:r w:rsidRPr="008F0D85">
        <w:t>Purchase</w:t>
      </w:r>
      <w:r w:rsidR="004475AB" w:rsidRPr="008F0D85">
        <w:t xml:space="preserve">d goods and </w:t>
      </w:r>
      <w:r w:rsidR="00BE1EBB" w:rsidRPr="008F0D85">
        <w:t>services</w:t>
      </w:r>
      <w:bookmarkEnd w:id="13"/>
    </w:p>
    <w:tbl>
      <w:tblPr>
        <w:tblStyle w:val="GridTable5Dark-Accent2"/>
        <w:tblpPr w:leftFromText="180" w:rightFromText="180" w:vertAnchor="page" w:horzAnchor="margin" w:tblpY="2506"/>
        <w:tblW w:w="9067" w:type="dxa"/>
        <w:tblLook w:val="04A0" w:firstRow="1" w:lastRow="0" w:firstColumn="1" w:lastColumn="0" w:noHBand="0" w:noVBand="1"/>
      </w:tblPr>
      <w:tblGrid>
        <w:gridCol w:w="2547"/>
        <w:gridCol w:w="6520"/>
      </w:tblGrid>
      <w:tr w:rsidR="00C93BB2" w:rsidRPr="00B43CF5" w14:paraId="21FBA5A0" w14:textId="77777777" w:rsidTr="00C93BB2">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3E5C60"/>
          </w:tcPr>
          <w:p w14:paraId="2CDC7EDD" w14:textId="77777777" w:rsidR="00C93BB2" w:rsidRPr="00B43CF5" w:rsidRDefault="00C93BB2" w:rsidP="00C93BB2">
            <w:pPr>
              <w:jc w:val="both"/>
            </w:pPr>
            <w:r w:rsidRPr="00B43CF5">
              <w:t>Category 1</w:t>
            </w:r>
          </w:p>
        </w:tc>
      </w:tr>
      <w:tr w:rsidR="00C93BB2" w:rsidRPr="00B43CF5" w14:paraId="04E64D3D" w14:textId="77777777" w:rsidTr="00C93BB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4E0DAD96" w14:textId="77777777" w:rsidR="00C93BB2" w:rsidRPr="00B43CF5" w:rsidRDefault="00C93BB2" w:rsidP="00C93BB2">
            <w:pPr>
              <w:jc w:val="both"/>
            </w:pPr>
            <w:r w:rsidRPr="00B43CF5">
              <w:t>Description</w:t>
            </w:r>
          </w:p>
        </w:tc>
        <w:tc>
          <w:tcPr>
            <w:tcW w:w="6520" w:type="dxa"/>
            <w:shd w:val="clear" w:color="auto" w:fill="C3D5D7"/>
          </w:tcPr>
          <w:p w14:paraId="7DC931C0" w14:textId="0D87A3F8" w:rsidR="00C93BB2" w:rsidRPr="007619BA"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7619BA">
              <w:rPr>
                <w:color w:val="44546A" w:themeColor="text2"/>
              </w:rPr>
              <w:t>Upstream GHG emissions from the extraction, production, and transportation of good</w:t>
            </w:r>
            <w:r w:rsidR="00461FC4">
              <w:rPr>
                <w:color w:val="44546A" w:themeColor="text2"/>
              </w:rPr>
              <w:t>s</w:t>
            </w:r>
            <w:r w:rsidRPr="007619BA">
              <w:rPr>
                <w:color w:val="44546A" w:themeColor="text2"/>
              </w:rPr>
              <w:t xml:space="preserve"> and services purchased or acquired by CAML during the year</w:t>
            </w:r>
            <w:r w:rsidR="000B3EE4">
              <w:rPr>
                <w:color w:val="44546A" w:themeColor="text2"/>
              </w:rPr>
              <w:t>.</w:t>
            </w:r>
          </w:p>
          <w:p w14:paraId="2A867FEC" w14:textId="77777777" w:rsidR="00C93BB2" w:rsidRPr="007619BA"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C93BB2" w:rsidRPr="00B43CF5" w14:paraId="16DFA608" w14:textId="77777777" w:rsidTr="00C93BB2">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122DE219" w14:textId="77777777" w:rsidR="00C93BB2" w:rsidRPr="00B43CF5" w:rsidRDefault="00C93BB2" w:rsidP="00C93BB2">
            <w:pPr>
              <w:jc w:val="both"/>
            </w:pPr>
            <w:r w:rsidRPr="000B542B">
              <w:t>Emissions (</w:t>
            </w:r>
            <w:r w:rsidRPr="008F0D85">
              <w:rPr>
                <w:rFonts w:eastAsia="Times New Roman"/>
              </w:rPr>
              <w:t>tCO</w:t>
            </w:r>
            <w:r w:rsidRPr="008F0D85">
              <w:rPr>
                <w:rFonts w:eastAsia="Times New Roman"/>
                <w:vertAlign w:val="subscript"/>
              </w:rPr>
              <w:t>2</w:t>
            </w:r>
            <w:r w:rsidRPr="008F0D85">
              <w:rPr>
                <w:rFonts w:eastAsia="Times New Roman"/>
              </w:rPr>
              <w:t>e)</w:t>
            </w:r>
          </w:p>
        </w:tc>
        <w:tc>
          <w:tcPr>
            <w:tcW w:w="6520" w:type="dxa"/>
            <w:shd w:val="clear" w:color="auto" w:fill="E1EAEB"/>
          </w:tcPr>
          <w:p w14:paraId="054790C2" w14:textId="69CCA413" w:rsidR="00C93BB2" w:rsidRPr="007619BA" w:rsidRDefault="00CE67A7" w:rsidP="00C93BB2">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41687A">
              <w:rPr>
                <w:color w:val="44546A" w:themeColor="text2"/>
              </w:rPr>
              <w:t>31</w:t>
            </w:r>
            <w:r w:rsidR="00C93BB2" w:rsidRPr="0041687A">
              <w:rPr>
                <w:color w:val="44546A" w:themeColor="text2"/>
              </w:rPr>
              <w:t>,5</w:t>
            </w:r>
            <w:r w:rsidRPr="0041687A">
              <w:rPr>
                <w:color w:val="44546A" w:themeColor="text2"/>
              </w:rPr>
              <w:t>38</w:t>
            </w:r>
            <w:r w:rsidR="00C93BB2" w:rsidRPr="0041687A">
              <w:rPr>
                <w:color w:val="44546A" w:themeColor="text2"/>
              </w:rPr>
              <w:t xml:space="preserve"> (202</w:t>
            </w:r>
            <w:r w:rsidRPr="0041687A">
              <w:rPr>
                <w:color w:val="44546A" w:themeColor="text2"/>
              </w:rPr>
              <w:t>3</w:t>
            </w:r>
            <w:r w:rsidR="00C93BB2" w:rsidRPr="0041687A">
              <w:rPr>
                <w:color w:val="44546A" w:themeColor="text2"/>
              </w:rPr>
              <w:t>: 2</w:t>
            </w:r>
            <w:r w:rsidRPr="0041687A">
              <w:rPr>
                <w:color w:val="44546A" w:themeColor="text2"/>
              </w:rPr>
              <w:t>7</w:t>
            </w:r>
            <w:r w:rsidR="00C93BB2" w:rsidRPr="0041687A">
              <w:rPr>
                <w:color w:val="44546A" w:themeColor="text2"/>
              </w:rPr>
              <w:t>,</w:t>
            </w:r>
            <w:r w:rsidRPr="0041687A">
              <w:rPr>
                <w:color w:val="44546A" w:themeColor="text2"/>
              </w:rPr>
              <w:t>115</w:t>
            </w:r>
            <w:r w:rsidR="00C93BB2" w:rsidRPr="0041687A">
              <w:rPr>
                <w:color w:val="44546A" w:themeColor="text2"/>
              </w:rPr>
              <w:t>)</w:t>
            </w:r>
          </w:p>
          <w:p w14:paraId="25891461" w14:textId="77777777" w:rsidR="00C93BB2" w:rsidRPr="007619BA" w:rsidRDefault="00C93BB2" w:rsidP="00C93BB2">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C93BB2" w:rsidRPr="00B43CF5" w14:paraId="7A62BC26" w14:textId="77777777" w:rsidTr="00C93BB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1CF13DC0" w14:textId="77777777" w:rsidR="00C93BB2" w:rsidRPr="00B43CF5" w:rsidRDefault="00C93BB2" w:rsidP="00C93BB2">
            <w:pPr>
              <w:jc w:val="both"/>
            </w:pPr>
            <w:r w:rsidRPr="00B43CF5">
              <w:t>Calculation</w:t>
            </w:r>
            <w:r>
              <w:t xml:space="preserve"> method</w:t>
            </w:r>
          </w:p>
        </w:tc>
        <w:tc>
          <w:tcPr>
            <w:tcW w:w="6520" w:type="dxa"/>
            <w:shd w:val="clear" w:color="auto" w:fill="C3D5D7"/>
          </w:tcPr>
          <w:p w14:paraId="6DDAB51B" w14:textId="58471F39" w:rsidR="00C93BB2" w:rsidRPr="007619BA"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7619BA">
              <w:rPr>
                <w:color w:val="44546A" w:themeColor="text2"/>
              </w:rPr>
              <w:t>Spend-based approach</w:t>
            </w:r>
          </w:p>
        </w:tc>
      </w:tr>
      <w:tr w:rsidR="00C93BB2" w:rsidRPr="00B43CF5" w14:paraId="56DBA391" w14:textId="77777777" w:rsidTr="00C93BB2">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38D8FB03" w14:textId="77777777" w:rsidR="00C93BB2" w:rsidRPr="00B43CF5" w:rsidRDefault="00C93BB2" w:rsidP="00C93BB2">
            <w:r w:rsidRPr="00B43CF5">
              <w:t>Activity data source</w:t>
            </w:r>
          </w:p>
        </w:tc>
        <w:tc>
          <w:tcPr>
            <w:tcW w:w="6520" w:type="dxa"/>
            <w:shd w:val="clear" w:color="auto" w:fill="E1EAEB"/>
          </w:tcPr>
          <w:p w14:paraId="772269A5" w14:textId="3B18BFBC" w:rsidR="00C93BB2" w:rsidRPr="007619BA" w:rsidRDefault="00C93BB2" w:rsidP="00C93BB2">
            <w:pPr>
              <w:jc w:val="both"/>
              <w:cnfStyle w:val="000000000000" w:firstRow="0" w:lastRow="0" w:firstColumn="0" w:lastColumn="0" w:oddVBand="0" w:evenVBand="0" w:oddHBand="0" w:evenHBand="0" w:firstRowFirstColumn="0" w:firstRowLastColumn="0" w:lastRowFirstColumn="0" w:lastRowLastColumn="0"/>
              <w:rPr>
                <w:color w:val="44546A" w:themeColor="text2"/>
                <w:lang w:val="en-CA"/>
              </w:rPr>
            </w:pPr>
            <w:r w:rsidRPr="007619BA">
              <w:rPr>
                <w:color w:val="44546A" w:themeColor="text2"/>
                <w:lang w:val="en-CA"/>
              </w:rPr>
              <w:t xml:space="preserve">CAML accounting software data of all </w:t>
            </w:r>
            <w:proofErr w:type="spellStart"/>
            <w:r w:rsidRPr="007619BA">
              <w:rPr>
                <w:color w:val="44546A" w:themeColor="text2"/>
                <w:lang w:val="en-CA"/>
              </w:rPr>
              <w:t>Opex</w:t>
            </w:r>
            <w:proofErr w:type="spellEnd"/>
            <w:r w:rsidRPr="007619BA">
              <w:rPr>
                <w:color w:val="44546A" w:themeColor="text2"/>
                <w:lang w:val="en-CA"/>
              </w:rPr>
              <w:t xml:space="preserve"> supplier payments (pre-tax) categorised according to industry categories</w:t>
            </w:r>
            <w:r w:rsidR="000B3EE4">
              <w:rPr>
                <w:color w:val="44546A" w:themeColor="text2"/>
                <w:lang w:val="en-CA"/>
              </w:rPr>
              <w:t>.</w:t>
            </w:r>
          </w:p>
          <w:p w14:paraId="7E3BCAAF" w14:textId="77777777" w:rsidR="00C93BB2" w:rsidRPr="007619BA" w:rsidRDefault="00C93BB2" w:rsidP="00C93BB2">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C93BB2" w:rsidRPr="00B43CF5" w14:paraId="1E4F5BBE" w14:textId="77777777" w:rsidTr="00C93BB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431EE597" w14:textId="77777777" w:rsidR="00C93BB2" w:rsidRPr="00B43CF5" w:rsidRDefault="00C93BB2" w:rsidP="00C93BB2">
            <w:r w:rsidRPr="00B43CF5">
              <w:t>Emissions data source</w:t>
            </w:r>
          </w:p>
        </w:tc>
        <w:tc>
          <w:tcPr>
            <w:tcW w:w="6520" w:type="dxa"/>
            <w:shd w:val="clear" w:color="auto" w:fill="C3D5D7"/>
          </w:tcPr>
          <w:p w14:paraId="135AAB9F" w14:textId="25C02AE0" w:rsidR="00C93BB2" w:rsidRPr="007619BA" w:rsidRDefault="009777D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proofErr w:type="spellStart"/>
            <w:r>
              <w:rPr>
                <w:color w:val="44546A" w:themeColor="text2"/>
              </w:rPr>
              <w:t>Exiobase</w:t>
            </w:r>
            <w:proofErr w:type="spellEnd"/>
            <w:r>
              <w:rPr>
                <w:color w:val="44546A" w:themeColor="text2"/>
              </w:rPr>
              <w:t xml:space="preserve"> data</w:t>
            </w:r>
            <w:r w:rsidR="006242F8">
              <w:rPr>
                <w:color w:val="44546A" w:themeColor="text2"/>
              </w:rPr>
              <w:t>base</w:t>
            </w:r>
            <w:r w:rsidR="00C93BB2" w:rsidRPr="007619BA">
              <w:rPr>
                <w:rStyle w:val="FootnoteReference"/>
                <w:color w:val="44546A" w:themeColor="text2"/>
              </w:rPr>
              <w:footnoteReference w:id="8"/>
            </w:r>
            <w:r w:rsidR="00C93BB2" w:rsidRPr="007619BA">
              <w:rPr>
                <w:color w:val="44546A" w:themeColor="text2"/>
              </w:rPr>
              <w:t xml:space="preserve"> and the </w:t>
            </w:r>
            <w:bookmarkStart w:id="15" w:name="_Hlk162006485"/>
            <w:r w:rsidR="00C93BB2" w:rsidRPr="007619BA">
              <w:rPr>
                <w:color w:val="44546A" w:themeColor="text2"/>
              </w:rPr>
              <w:t>World Input – Output Database GHG evaluator</w:t>
            </w:r>
            <w:bookmarkEnd w:id="15"/>
            <w:r w:rsidR="00C93BB2" w:rsidRPr="007619BA">
              <w:rPr>
                <w:rStyle w:val="FootnoteReference"/>
                <w:color w:val="44546A" w:themeColor="text2"/>
              </w:rPr>
              <w:footnoteReference w:id="9"/>
            </w:r>
            <w:r w:rsidR="000B3EE4">
              <w:rPr>
                <w:color w:val="44546A" w:themeColor="text2"/>
              </w:rPr>
              <w:t>.</w:t>
            </w:r>
            <w:r w:rsidR="00C93BB2" w:rsidRPr="007619BA">
              <w:rPr>
                <w:color w:val="44546A" w:themeColor="text2"/>
              </w:rPr>
              <w:t xml:space="preserve"> </w:t>
            </w:r>
          </w:p>
          <w:p w14:paraId="1876BD78" w14:textId="77777777" w:rsidR="00C93BB2" w:rsidRPr="007619BA"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bl>
    <w:p w14:paraId="19051E3C" w14:textId="77777777" w:rsidR="008B770F" w:rsidRDefault="008B770F" w:rsidP="00E325F9">
      <w:pPr>
        <w:jc w:val="both"/>
      </w:pPr>
    </w:p>
    <w:p w14:paraId="0500609E" w14:textId="79E195CC" w:rsidR="00AB760C" w:rsidRPr="007619BA" w:rsidRDefault="00AB760C" w:rsidP="00ED0F1D">
      <w:pPr>
        <w:pStyle w:val="Heading4"/>
        <w:rPr>
          <w:b w:val="0"/>
        </w:rPr>
      </w:pPr>
      <w:r w:rsidRPr="007619BA">
        <w:t>Boundaries</w:t>
      </w:r>
    </w:p>
    <w:p w14:paraId="4B483848" w14:textId="6F03AC10" w:rsidR="00F2668D" w:rsidRPr="00C24FAE" w:rsidRDefault="00393B42" w:rsidP="00ED0F1D">
      <w:pPr>
        <w:tabs>
          <w:tab w:val="left" w:pos="4820"/>
        </w:tabs>
        <w:jc w:val="both"/>
        <w:rPr>
          <w:color w:val="44546A" w:themeColor="text2"/>
        </w:rPr>
      </w:pPr>
      <w:r w:rsidRPr="00C24FAE">
        <w:rPr>
          <w:color w:val="44546A" w:themeColor="text2"/>
        </w:rPr>
        <w:t xml:space="preserve">This category covers emissions upstream of CAML’s operations </w:t>
      </w:r>
      <w:r w:rsidR="0032169C" w:rsidRPr="00C24FAE">
        <w:rPr>
          <w:color w:val="44546A" w:themeColor="text2"/>
        </w:rPr>
        <w:t>associated with</w:t>
      </w:r>
      <w:r w:rsidRPr="00C24FAE">
        <w:rPr>
          <w:color w:val="44546A" w:themeColor="text2"/>
        </w:rPr>
        <w:t xml:space="preserve"> the extraction, production, and transportation of goods and services </w:t>
      </w:r>
      <w:r w:rsidR="0032169C" w:rsidRPr="00C24FAE">
        <w:rPr>
          <w:color w:val="44546A" w:themeColor="text2"/>
        </w:rPr>
        <w:t xml:space="preserve">procured </w:t>
      </w:r>
      <w:r w:rsidRPr="00C24FAE">
        <w:rPr>
          <w:color w:val="44546A" w:themeColor="text2"/>
        </w:rPr>
        <w:t>in the reporting year. Emissions related to fuel and energy activities, upstream transportation, business travel, and employee commuting are excluded,</w:t>
      </w:r>
      <w:r w:rsidR="005807E3">
        <w:rPr>
          <w:color w:val="44546A" w:themeColor="text2"/>
        </w:rPr>
        <w:t xml:space="preserve"> as these</w:t>
      </w:r>
      <w:r w:rsidRPr="00C24FAE">
        <w:rPr>
          <w:color w:val="44546A" w:themeColor="text2"/>
        </w:rPr>
        <w:t xml:space="preserve"> fall into separate categories (categories 3, 4, 6, and 7, respectively), as per Scope 3 Standard recommendations.</w:t>
      </w:r>
      <w:r w:rsidR="005B00D2" w:rsidRPr="00C24FAE">
        <w:rPr>
          <w:color w:val="44546A" w:themeColor="text2"/>
        </w:rPr>
        <w:t xml:space="preserve"> </w:t>
      </w:r>
    </w:p>
    <w:p w14:paraId="526D10F7" w14:textId="1AF3AEF4" w:rsidR="00714059" w:rsidRPr="007619BA" w:rsidRDefault="00714059" w:rsidP="00ED0F1D">
      <w:pPr>
        <w:pStyle w:val="Heading4"/>
        <w:rPr>
          <w:b w:val="0"/>
        </w:rPr>
      </w:pPr>
      <w:r w:rsidRPr="007619BA">
        <w:t>Calculation method</w:t>
      </w:r>
    </w:p>
    <w:p w14:paraId="156D3746" w14:textId="71B92A3A" w:rsidR="00C40AF6" w:rsidRPr="00C24FAE" w:rsidRDefault="00ED6865" w:rsidP="00393B42">
      <w:pPr>
        <w:tabs>
          <w:tab w:val="left" w:pos="4820"/>
        </w:tabs>
        <w:jc w:val="both"/>
        <w:rPr>
          <w:color w:val="44546A" w:themeColor="text2"/>
        </w:rPr>
      </w:pPr>
      <w:r w:rsidRPr="00C24FAE">
        <w:rPr>
          <w:color w:val="44546A" w:themeColor="text2"/>
        </w:rPr>
        <w:t>CAML t</w:t>
      </w:r>
      <w:r w:rsidR="001108B1" w:rsidRPr="00C24FAE">
        <w:rPr>
          <w:color w:val="44546A" w:themeColor="text2"/>
        </w:rPr>
        <w:t xml:space="preserve">otal </w:t>
      </w:r>
      <w:r w:rsidR="00F92FB0" w:rsidRPr="00C24FAE">
        <w:rPr>
          <w:color w:val="44546A" w:themeColor="text2"/>
        </w:rPr>
        <w:t>operating expenditure (</w:t>
      </w:r>
      <w:proofErr w:type="spellStart"/>
      <w:r w:rsidR="006275AD">
        <w:rPr>
          <w:color w:val="44546A" w:themeColor="text2"/>
        </w:rPr>
        <w:t>o</w:t>
      </w:r>
      <w:r w:rsidR="00A33268" w:rsidRPr="00C24FAE">
        <w:rPr>
          <w:color w:val="44546A" w:themeColor="text2"/>
        </w:rPr>
        <w:t>pex</w:t>
      </w:r>
      <w:proofErr w:type="spellEnd"/>
      <w:r w:rsidR="00F92FB0" w:rsidRPr="00C24FAE">
        <w:rPr>
          <w:color w:val="44546A" w:themeColor="text2"/>
        </w:rPr>
        <w:t>)</w:t>
      </w:r>
      <w:r w:rsidR="00737A6C" w:rsidRPr="00C24FAE">
        <w:rPr>
          <w:color w:val="44546A" w:themeColor="text2"/>
        </w:rPr>
        <w:t xml:space="preserve"> </w:t>
      </w:r>
      <w:r w:rsidR="00A33268" w:rsidRPr="00C24FAE">
        <w:rPr>
          <w:color w:val="44546A" w:themeColor="text2"/>
        </w:rPr>
        <w:t>in US dollars for the year ended 31 December 202</w:t>
      </w:r>
      <w:r w:rsidR="00354FAC">
        <w:rPr>
          <w:color w:val="44546A" w:themeColor="text2"/>
        </w:rPr>
        <w:t>4</w:t>
      </w:r>
      <w:r w:rsidR="00A33268" w:rsidRPr="00C24FAE">
        <w:rPr>
          <w:color w:val="44546A" w:themeColor="text2"/>
        </w:rPr>
        <w:t xml:space="preserve"> was extracted from </w:t>
      </w:r>
      <w:r w:rsidR="00CE6240" w:rsidRPr="00C24FAE">
        <w:rPr>
          <w:color w:val="44546A" w:themeColor="text2"/>
        </w:rPr>
        <w:t xml:space="preserve">our accounting </w:t>
      </w:r>
      <w:r w:rsidR="001108B1" w:rsidRPr="00C24FAE">
        <w:rPr>
          <w:color w:val="44546A" w:themeColor="text2"/>
        </w:rPr>
        <w:t>software</w:t>
      </w:r>
      <w:r w:rsidR="00A549CE">
        <w:rPr>
          <w:color w:val="44546A" w:themeColor="text2"/>
        </w:rPr>
        <w:t xml:space="preserve"> and</w:t>
      </w:r>
      <w:r w:rsidR="001108B1" w:rsidRPr="00C24FAE">
        <w:rPr>
          <w:color w:val="44546A" w:themeColor="text2"/>
        </w:rPr>
        <w:t xml:space="preserve"> categorised </w:t>
      </w:r>
      <w:r w:rsidR="0021468F" w:rsidRPr="00C24FAE">
        <w:rPr>
          <w:color w:val="44546A" w:themeColor="text2"/>
        </w:rPr>
        <w:t xml:space="preserve">into industry according to </w:t>
      </w:r>
      <w:proofErr w:type="spellStart"/>
      <w:r w:rsidR="00354FAC">
        <w:rPr>
          <w:color w:val="44546A" w:themeColor="text2"/>
        </w:rPr>
        <w:t>Exiobase</w:t>
      </w:r>
      <w:proofErr w:type="spellEnd"/>
      <w:r w:rsidR="00354FAC">
        <w:rPr>
          <w:color w:val="44546A" w:themeColor="text2"/>
        </w:rPr>
        <w:t xml:space="preserve"> database</w:t>
      </w:r>
      <w:r w:rsidR="006A5EBF" w:rsidRPr="00C24FAE">
        <w:rPr>
          <w:color w:val="44546A" w:themeColor="text2"/>
        </w:rPr>
        <w:t xml:space="preserve">. This </w:t>
      </w:r>
      <w:proofErr w:type="spellStart"/>
      <w:r w:rsidR="006275AD">
        <w:rPr>
          <w:color w:val="44546A" w:themeColor="text2"/>
        </w:rPr>
        <w:t>o</w:t>
      </w:r>
      <w:r w:rsidR="00CE6240" w:rsidRPr="00C24FAE">
        <w:rPr>
          <w:color w:val="44546A" w:themeColor="text2"/>
        </w:rPr>
        <w:t>pex</w:t>
      </w:r>
      <w:proofErr w:type="spellEnd"/>
      <w:r w:rsidR="00CE6240" w:rsidRPr="00C24FAE">
        <w:rPr>
          <w:color w:val="44546A" w:themeColor="text2"/>
        </w:rPr>
        <w:t xml:space="preserve"> </w:t>
      </w:r>
      <w:r w:rsidR="006A5EBF" w:rsidRPr="00C24FAE">
        <w:rPr>
          <w:color w:val="44546A" w:themeColor="text2"/>
        </w:rPr>
        <w:t>spend was then</w:t>
      </w:r>
      <w:r w:rsidR="00714059" w:rsidRPr="00C24FAE">
        <w:rPr>
          <w:color w:val="44546A" w:themeColor="text2"/>
        </w:rPr>
        <w:t xml:space="preserve"> discounted back to a 201</w:t>
      </w:r>
      <w:r w:rsidR="00354FAC">
        <w:rPr>
          <w:color w:val="44546A" w:themeColor="text2"/>
        </w:rPr>
        <w:t>9</w:t>
      </w:r>
      <w:r w:rsidR="00714059" w:rsidRPr="00C24FAE">
        <w:rPr>
          <w:color w:val="44546A" w:themeColor="text2"/>
        </w:rPr>
        <w:t xml:space="preserve"> equivalent </w:t>
      </w:r>
      <w:r w:rsidR="00714059" w:rsidRPr="00C24FAE" w:rsidDel="00D63258">
        <w:rPr>
          <w:color w:val="44546A" w:themeColor="text2"/>
        </w:rPr>
        <w:t>spend</w:t>
      </w:r>
      <w:r w:rsidR="00D63258" w:rsidRPr="00C24FAE">
        <w:rPr>
          <w:color w:val="44546A" w:themeColor="text2"/>
        </w:rPr>
        <w:t>,</w:t>
      </w:r>
      <w:r w:rsidR="00714059" w:rsidRPr="00C24FAE">
        <w:rPr>
          <w:color w:val="44546A" w:themeColor="text2"/>
        </w:rPr>
        <w:t xml:space="preserve"> and this USD figure multiplied by an emissions factor provided by the </w:t>
      </w:r>
      <w:proofErr w:type="spellStart"/>
      <w:r w:rsidR="00D63258">
        <w:rPr>
          <w:color w:val="44546A" w:themeColor="text2"/>
        </w:rPr>
        <w:t>Exiobase</w:t>
      </w:r>
      <w:proofErr w:type="spellEnd"/>
      <w:r w:rsidR="00714059" w:rsidRPr="00C24FAE">
        <w:rPr>
          <w:color w:val="44546A" w:themeColor="text2"/>
        </w:rPr>
        <w:t xml:space="preserve"> and the World Input – Output Database GHG evaluator</w:t>
      </w:r>
      <w:r w:rsidR="00714059" w:rsidRPr="00C24FAE">
        <w:rPr>
          <w:rStyle w:val="FootnoteReference"/>
          <w:color w:val="44546A" w:themeColor="text2"/>
        </w:rPr>
        <w:footnoteReference w:id="10"/>
      </w:r>
      <w:r w:rsidR="00A549CE">
        <w:rPr>
          <w:color w:val="44546A" w:themeColor="text2"/>
        </w:rPr>
        <w:t>,</w:t>
      </w:r>
      <w:r w:rsidR="00714059" w:rsidRPr="00C24FAE">
        <w:rPr>
          <w:color w:val="44546A" w:themeColor="text2"/>
        </w:rPr>
        <w:t xml:space="preserve"> which is an online tool that provides a t</w:t>
      </w:r>
      <w:r w:rsidR="00A549CE">
        <w:rPr>
          <w:color w:val="44546A" w:themeColor="text2"/>
        </w:rPr>
        <w:t>onne</w:t>
      </w:r>
      <w:r w:rsidR="00714059" w:rsidRPr="00C24FAE">
        <w:rPr>
          <w:color w:val="44546A" w:themeColor="text2"/>
        </w:rPr>
        <w:t xml:space="preserve"> of C</w:t>
      </w:r>
      <w:r w:rsidR="00A549CE">
        <w:rPr>
          <w:color w:val="44546A" w:themeColor="text2"/>
        </w:rPr>
        <w:t>O</w:t>
      </w:r>
      <w:r w:rsidR="00714059" w:rsidRPr="00A549CE">
        <w:rPr>
          <w:color w:val="44546A" w:themeColor="text2"/>
          <w:vertAlign w:val="subscript"/>
        </w:rPr>
        <w:t>2</w:t>
      </w:r>
      <w:r w:rsidR="00714059" w:rsidRPr="00C24FAE">
        <w:rPr>
          <w:color w:val="44546A" w:themeColor="text2"/>
        </w:rPr>
        <w:t>-eq/$ spend that can be applied to supplier payments.</w:t>
      </w:r>
    </w:p>
    <w:p w14:paraId="51A77ED5" w14:textId="2452154A" w:rsidR="00C40AF6" w:rsidRPr="00C24FAE" w:rsidRDefault="00C40AF6" w:rsidP="00393B42">
      <w:pPr>
        <w:tabs>
          <w:tab w:val="left" w:pos="4820"/>
        </w:tabs>
        <w:jc w:val="both"/>
        <w:rPr>
          <w:color w:val="44546A" w:themeColor="text2"/>
        </w:rPr>
      </w:pPr>
      <w:r w:rsidRPr="00C24FAE">
        <w:rPr>
          <w:color w:val="44546A" w:themeColor="text2"/>
        </w:rPr>
        <w:lastRenderedPageBreak/>
        <w:t>The adjusted spending for 201</w:t>
      </w:r>
      <w:r w:rsidR="00A346E5">
        <w:rPr>
          <w:color w:val="44546A" w:themeColor="text2"/>
        </w:rPr>
        <w:t>9</w:t>
      </w:r>
      <w:r w:rsidRPr="00C24FAE">
        <w:rPr>
          <w:color w:val="44546A" w:themeColor="text2"/>
        </w:rPr>
        <w:t xml:space="preserve"> was multiplied by the respective industry emission factor, initially yielding the total </w:t>
      </w:r>
      <w:r w:rsidRPr="0041687A">
        <w:rPr>
          <w:color w:val="44546A" w:themeColor="text2"/>
        </w:rPr>
        <w:t xml:space="preserve">emissions in </w:t>
      </w:r>
      <w:r w:rsidR="000B07F3" w:rsidRPr="0041687A">
        <w:rPr>
          <w:color w:val="44546A" w:themeColor="text2"/>
        </w:rPr>
        <w:t>kg</w:t>
      </w:r>
      <w:r w:rsidRPr="0041687A">
        <w:rPr>
          <w:color w:val="44546A" w:themeColor="text2"/>
        </w:rPr>
        <w:t>CO</w:t>
      </w:r>
      <w:r w:rsidRPr="0041687A">
        <w:rPr>
          <w:color w:val="44546A" w:themeColor="text2"/>
          <w:vertAlign w:val="subscript"/>
        </w:rPr>
        <w:t>2</w:t>
      </w:r>
      <w:r w:rsidRPr="0041687A">
        <w:rPr>
          <w:color w:val="44546A" w:themeColor="text2"/>
        </w:rPr>
        <w:t>e and</w:t>
      </w:r>
      <w:r w:rsidRPr="00C24FAE">
        <w:rPr>
          <w:color w:val="44546A" w:themeColor="text2"/>
        </w:rPr>
        <w:t xml:space="preserve"> then converted to </w:t>
      </w:r>
      <w:r w:rsidRPr="00C24FAE">
        <w:rPr>
          <w:rFonts w:eastAsia="Times New Roman"/>
          <w:color w:val="44546A" w:themeColor="text2"/>
        </w:rPr>
        <w:t>tCO</w:t>
      </w:r>
      <w:r w:rsidRPr="00C24FAE">
        <w:rPr>
          <w:rFonts w:eastAsia="Times New Roman"/>
          <w:color w:val="44546A" w:themeColor="text2"/>
          <w:vertAlign w:val="subscript"/>
        </w:rPr>
        <w:t>2</w:t>
      </w:r>
      <w:r w:rsidRPr="00C24FAE">
        <w:rPr>
          <w:rFonts w:eastAsia="Times New Roman"/>
          <w:color w:val="44546A" w:themeColor="text2"/>
        </w:rPr>
        <w:t>e</w:t>
      </w:r>
      <w:r w:rsidRPr="00C24FAE">
        <w:rPr>
          <w:color w:val="44546A" w:themeColor="text2"/>
        </w:rPr>
        <w:t xml:space="preserve"> in the summary of emissions.</w:t>
      </w:r>
    </w:p>
    <w:p w14:paraId="59EB937B" w14:textId="2A075BC5" w:rsidR="00AB760C" w:rsidRPr="007619BA" w:rsidRDefault="00F951F6" w:rsidP="0006403A">
      <w:pPr>
        <w:pStyle w:val="Heading4"/>
        <w:rPr>
          <w:b w:val="0"/>
        </w:rPr>
      </w:pPr>
      <w:r w:rsidRPr="007619BA">
        <w:t>Assumptions</w:t>
      </w:r>
    </w:p>
    <w:p w14:paraId="2A2EC307" w14:textId="567FBC42" w:rsidR="00767B3B" w:rsidRPr="00C24FAE" w:rsidRDefault="007B11C9" w:rsidP="009B6F36">
      <w:pPr>
        <w:jc w:val="both"/>
        <w:rPr>
          <w:color w:val="44546A" w:themeColor="text2"/>
        </w:rPr>
      </w:pPr>
      <w:proofErr w:type="spellStart"/>
      <w:r w:rsidRPr="00C24FAE">
        <w:rPr>
          <w:color w:val="44546A" w:themeColor="text2"/>
        </w:rPr>
        <w:t>O</w:t>
      </w:r>
      <w:r w:rsidR="001C6B82">
        <w:rPr>
          <w:color w:val="44546A" w:themeColor="text2"/>
        </w:rPr>
        <w:t>pex</w:t>
      </w:r>
      <w:proofErr w:type="spellEnd"/>
      <w:r w:rsidRPr="00C24FAE">
        <w:rPr>
          <w:color w:val="44546A" w:themeColor="text2"/>
        </w:rPr>
        <w:t xml:space="preserve"> D</w:t>
      </w:r>
      <w:r w:rsidR="006E4E83" w:rsidRPr="00C24FAE">
        <w:rPr>
          <w:color w:val="44546A" w:themeColor="text2"/>
        </w:rPr>
        <w:t>ata from</w:t>
      </w:r>
      <w:r w:rsidR="00767B3B" w:rsidRPr="00C24FAE">
        <w:rPr>
          <w:color w:val="44546A" w:themeColor="text2"/>
        </w:rPr>
        <w:t xml:space="preserve"> </w:t>
      </w:r>
      <w:r w:rsidR="006E4E83" w:rsidRPr="00C24FAE">
        <w:rPr>
          <w:color w:val="44546A" w:themeColor="text2"/>
        </w:rPr>
        <w:t xml:space="preserve">at least </w:t>
      </w:r>
      <w:r w:rsidR="009B29A1" w:rsidRPr="00C24FAE">
        <w:rPr>
          <w:color w:val="44546A" w:themeColor="text2"/>
        </w:rPr>
        <w:t>98</w:t>
      </w:r>
      <w:r w:rsidR="00767B3B" w:rsidRPr="00C24FAE">
        <w:rPr>
          <w:color w:val="44546A" w:themeColor="text2"/>
        </w:rPr>
        <w:t xml:space="preserve">% of </w:t>
      </w:r>
      <w:r w:rsidR="005B00D2" w:rsidRPr="00C24FAE">
        <w:rPr>
          <w:color w:val="44546A" w:themeColor="text2"/>
        </w:rPr>
        <w:t xml:space="preserve">our </w:t>
      </w:r>
      <w:r w:rsidR="00643A6D" w:rsidRPr="00C24FAE">
        <w:rPr>
          <w:color w:val="44546A" w:themeColor="text2"/>
        </w:rPr>
        <w:t>operations</w:t>
      </w:r>
      <w:r w:rsidR="00767B3B" w:rsidRPr="00C24FAE">
        <w:rPr>
          <w:color w:val="44546A" w:themeColor="text2"/>
        </w:rPr>
        <w:t xml:space="preserve"> </w:t>
      </w:r>
      <w:r w:rsidR="00643A6D" w:rsidRPr="00C24FAE">
        <w:rPr>
          <w:color w:val="44546A" w:themeColor="text2"/>
        </w:rPr>
        <w:t>was</w:t>
      </w:r>
      <w:r w:rsidR="00767B3B" w:rsidRPr="00C24FAE">
        <w:rPr>
          <w:color w:val="44546A" w:themeColor="text2"/>
        </w:rPr>
        <w:t xml:space="preserve"> </w:t>
      </w:r>
      <w:r w:rsidR="006048B5">
        <w:rPr>
          <w:color w:val="44546A" w:themeColor="text2"/>
        </w:rPr>
        <w:t>categorised</w:t>
      </w:r>
      <w:r w:rsidR="006048B5" w:rsidRPr="00C24FAE">
        <w:rPr>
          <w:color w:val="44546A" w:themeColor="text2"/>
        </w:rPr>
        <w:t xml:space="preserve"> </w:t>
      </w:r>
      <w:r w:rsidR="00767B3B" w:rsidRPr="00C24FAE">
        <w:rPr>
          <w:color w:val="44546A" w:themeColor="text2"/>
        </w:rPr>
        <w:t>into distinct purchase types</w:t>
      </w:r>
      <w:r w:rsidR="005909E8" w:rsidRPr="00C24FAE">
        <w:rPr>
          <w:color w:val="44546A" w:themeColor="text2"/>
        </w:rPr>
        <w:t xml:space="preserve"> based on knowledge and assumptions of invoices. These </w:t>
      </w:r>
      <w:r w:rsidR="004126AF" w:rsidRPr="00C24FAE">
        <w:rPr>
          <w:color w:val="44546A" w:themeColor="text2"/>
        </w:rPr>
        <w:t xml:space="preserve">categories were </w:t>
      </w:r>
      <w:r w:rsidR="00767B3B" w:rsidRPr="00C24FAE">
        <w:rPr>
          <w:color w:val="44546A" w:themeColor="text2"/>
        </w:rPr>
        <w:t xml:space="preserve">standard goods, services and a category termed 'mixed'. The 'mixed' label was used for suppliers delivering a diverse array of products or services, such as drilling companies offering both drilling fluids and contractor services. These purchase types were further classified under respective industries, </w:t>
      </w:r>
      <w:r w:rsidR="008430D3" w:rsidRPr="00C24FAE">
        <w:rPr>
          <w:color w:val="44546A" w:themeColor="text2"/>
        </w:rPr>
        <w:t xml:space="preserve">aligning with </w:t>
      </w:r>
      <w:r w:rsidR="00767B3B" w:rsidRPr="00C24FAE">
        <w:rPr>
          <w:color w:val="44546A" w:themeColor="text2"/>
        </w:rPr>
        <w:t xml:space="preserve">the classifications by </w:t>
      </w:r>
      <w:proofErr w:type="spellStart"/>
      <w:r w:rsidR="00A932A6">
        <w:rPr>
          <w:color w:val="44546A" w:themeColor="text2"/>
        </w:rPr>
        <w:t>Exiobase</w:t>
      </w:r>
      <w:proofErr w:type="spellEnd"/>
      <w:r w:rsidR="00A932A6">
        <w:rPr>
          <w:rStyle w:val="FootnoteReference"/>
          <w:color w:val="44546A" w:themeColor="text2"/>
        </w:rPr>
        <w:footnoteReference w:id="11"/>
      </w:r>
      <w:r w:rsidR="00767B3B" w:rsidRPr="00C24FAE">
        <w:rPr>
          <w:color w:val="44546A" w:themeColor="text2"/>
        </w:rPr>
        <w:t>.</w:t>
      </w:r>
    </w:p>
    <w:p w14:paraId="7367506F" w14:textId="031BA8C8" w:rsidR="00CC3E1B" w:rsidRPr="00C24FAE" w:rsidRDefault="007868A2" w:rsidP="009B6F36">
      <w:pPr>
        <w:jc w:val="both"/>
        <w:rPr>
          <w:color w:val="44546A" w:themeColor="text2"/>
        </w:rPr>
      </w:pPr>
      <w:r w:rsidRPr="00C24FAE">
        <w:rPr>
          <w:color w:val="44546A" w:themeColor="text2"/>
        </w:rPr>
        <w:t>Following the</w:t>
      </w:r>
      <w:r w:rsidR="00767B3B" w:rsidRPr="00C24FAE">
        <w:rPr>
          <w:color w:val="44546A" w:themeColor="text2"/>
        </w:rPr>
        <w:t xml:space="preserve"> categori</w:t>
      </w:r>
      <w:r w:rsidR="00643A6D" w:rsidRPr="00C24FAE">
        <w:rPr>
          <w:color w:val="44546A" w:themeColor="text2"/>
        </w:rPr>
        <w:t>s</w:t>
      </w:r>
      <w:r w:rsidR="00767B3B" w:rsidRPr="00C24FAE">
        <w:rPr>
          <w:color w:val="44546A" w:themeColor="text2"/>
        </w:rPr>
        <w:t xml:space="preserve">ation process, </w:t>
      </w:r>
      <w:proofErr w:type="spellStart"/>
      <w:r w:rsidR="008E5BCC">
        <w:rPr>
          <w:color w:val="44546A" w:themeColor="text2"/>
        </w:rPr>
        <w:t>o</w:t>
      </w:r>
      <w:r w:rsidR="001C6B82">
        <w:rPr>
          <w:color w:val="44546A" w:themeColor="text2"/>
        </w:rPr>
        <w:t>pex</w:t>
      </w:r>
      <w:proofErr w:type="spellEnd"/>
      <w:r w:rsidR="00A33AE8" w:rsidRPr="00C24FAE">
        <w:rPr>
          <w:color w:val="44546A" w:themeColor="text2"/>
        </w:rPr>
        <w:t xml:space="preserve"> </w:t>
      </w:r>
      <w:r w:rsidR="00767B3B" w:rsidRPr="00C24FAE">
        <w:rPr>
          <w:color w:val="44546A" w:themeColor="text2"/>
        </w:rPr>
        <w:t>data was populated labell</w:t>
      </w:r>
      <w:r w:rsidR="00643A6D" w:rsidRPr="00C24FAE">
        <w:rPr>
          <w:color w:val="44546A" w:themeColor="text2"/>
        </w:rPr>
        <w:t xml:space="preserve">ing each expenditure into </w:t>
      </w:r>
      <w:r w:rsidR="00767B3B" w:rsidRPr="00C24FAE">
        <w:rPr>
          <w:color w:val="44546A" w:themeColor="text2"/>
        </w:rPr>
        <w:t xml:space="preserve">a specific category. To maintain data integrity, all industry-related expenditures were </w:t>
      </w:r>
      <w:r w:rsidR="003701E4">
        <w:rPr>
          <w:color w:val="44546A" w:themeColor="text2"/>
        </w:rPr>
        <w:t>combined</w:t>
      </w:r>
      <w:r w:rsidR="003701E4" w:rsidRPr="00C24FAE">
        <w:rPr>
          <w:color w:val="44546A" w:themeColor="text2"/>
        </w:rPr>
        <w:t xml:space="preserve"> </w:t>
      </w:r>
      <w:r w:rsidR="00767B3B" w:rsidRPr="00C24FAE">
        <w:rPr>
          <w:color w:val="44546A" w:themeColor="text2"/>
        </w:rPr>
        <w:t>and then adjusted through a pricing index</w:t>
      </w:r>
      <w:r w:rsidR="007F738E" w:rsidRPr="00C24FAE">
        <w:rPr>
          <w:color w:val="44546A" w:themeColor="text2"/>
          <w:vertAlign w:val="superscript"/>
        </w:rPr>
        <w:t>2</w:t>
      </w:r>
      <w:r w:rsidR="00767B3B" w:rsidRPr="00C24FAE">
        <w:rPr>
          <w:color w:val="44546A" w:themeColor="text2"/>
        </w:rPr>
        <w:t>, reconciling 202</w:t>
      </w:r>
      <w:r w:rsidR="00DF3B40">
        <w:rPr>
          <w:color w:val="44546A" w:themeColor="text2"/>
        </w:rPr>
        <w:t>4</w:t>
      </w:r>
      <w:r w:rsidR="00767B3B" w:rsidRPr="00C24FAE">
        <w:rPr>
          <w:color w:val="44546A" w:themeColor="text2"/>
        </w:rPr>
        <w:t xml:space="preserve"> values with those from 201</w:t>
      </w:r>
      <w:r w:rsidR="00DF3B40">
        <w:rPr>
          <w:color w:val="44546A" w:themeColor="text2"/>
        </w:rPr>
        <w:t>9</w:t>
      </w:r>
      <w:r w:rsidR="00767B3B" w:rsidRPr="00C24FAE">
        <w:rPr>
          <w:color w:val="44546A" w:themeColor="text2"/>
        </w:rPr>
        <w:t xml:space="preserve"> to match the emission factor's baseline year</w:t>
      </w:r>
      <w:r w:rsidR="00767B3B" w:rsidRPr="006868A4">
        <w:rPr>
          <w:color w:val="44546A" w:themeColor="text2"/>
        </w:rPr>
        <w:t xml:space="preserve">. </w:t>
      </w:r>
      <w:r w:rsidR="00D21852" w:rsidRPr="006868A4">
        <w:rPr>
          <w:color w:val="44546A" w:themeColor="text2"/>
        </w:rPr>
        <w:t xml:space="preserve">It has been assumed that spend-based emissions factors from the </w:t>
      </w:r>
      <w:proofErr w:type="spellStart"/>
      <w:r w:rsidR="00DF3B40" w:rsidRPr="006868A4">
        <w:rPr>
          <w:color w:val="44546A" w:themeColor="text2"/>
        </w:rPr>
        <w:t>Exiobase</w:t>
      </w:r>
      <w:proofErr w:type="spellEnd"/>
      <w:r w:rsidR="009F37B9" w:rsidRPr="00C2772E">
        <w:rPr>
          <w:color w:val="44546A" w:themeColor="text2"/>
        </w:rPr>
        <w:t xml:space="preserve"> </w:t>
      </w:r>
      <w:r w:rsidR="00D21852" w:rsidRPr="006868A4">
        <w:rPr>
          <w:color w:val="44546A" w:themeColor="text2"/>
        </w:rPr>
        <w:t>are representative of the organisations, geographies and activities associated</w:t>
      </w:r>
      <w:r w:rsidR="00232823" w:rsidRPr="006868A4">
        <w:rPr>
          <w:color w:val="44546A" w:themeColor="text2"/>
        </w:rPr>
        <w:t>.</w:t>
      </w:r>
    </w:p>
    <w:p w14:paraId="573485B7" w14:textId="77777777" w:rsidR="00FA6DCC" w:rsidRDefault="00A66B40" w:rsidP="00FA6DCC">
      <w:pPr>
        <w:jc w:val="both"/>
        <w:rPr>
          <w:color w:val="44546A" w:themeColor="text2"/>
        </w:rPr>
      </w:pPr>
      <w:r w:rsidRPr="00C24FAE">
        <w:rPr>
          <w:color w:val="44546A" w:themeColor="text2"/>
        </w:rPr>
        <w:t xml:space="preserve">Assumptions were made to relate the procurement system spend classifications, based on an interpretation of the typical activities covered by that classification, to an appropriate emissions factor derived from </w:t>
      </w:r>
      <w:proofErr w:type="spellStart"/>
      <w:r w:rsidR="00463EFF">
        <w:rPr>
          <w:color w:val="44546A" w:themeColor="text2"/>
        </w:rPr>
        <w:t>Exiobase</w:t>
      </w:r>
      <w:proofErr w:type="spellEnd"/>
      <w:r w:rsidRPr="00C24FAE">
        <w:rPr>
          <w:color w:val="44546A" w:themeColor="text2"/>
        </w:rPr>
        <w:t xml:space="preserve">. </w:t>
      </w:r>
    </w:p>
    <w:p w14:paraId="5A3FBBF8" w14:textId="0EB923F7" w:rsidR="00F2668D" w:rsidRPr="00C24FAE" w:rsidRDefault="00FA6DCC" w:rsidP="00FA6DCC">
      <w:pPr>
        <w:jc w:val="both"/>
        <w:rPr>
          <w:color w:val="44546A" w:themeColor="text2"/>
        </w:rPr>
      </w:pPr>
      <w:r w:rsidRPr="00652658">
        <w:rPr>
          <w:color w:val="44546A" w:themeColor="text2"/>
        </w:rPr>
        <w:t>The comparative data from previous Scope 3 assessments (2022 and 2023) follows the same methodology applied in 2024 for calculating emissions based on OPEX spend. However, the emission factors used for 2022 and 2023 were sourced from Quantis Scope 3 Evaluator tool</w:t>
      </w:r>
      <w:r w:rsidR="0015061A">
        <w:rPr>
          <w:rStyle w:val="FootnoteReference"/>
          <w:color w:val="44546A" w:themeColor="text2"/>
        </w:rPr>
        <w:footnoteReference w:id="12"/>
      </w:r>
      <w:r w:rsidRPr="00652658">
        <w:rPr>
          <w:color w:val="44546A" w:themeColor="text2"/>
        </w:rPr>
        <w:t xml:space="preserve">, which was in use at the time but has since been discontinued. </w:t>
      </w:r>
      <w:r w:rsidR="00064F47" w:rsidRPr="00064F47">
        <w:rPr>
          <w:color w:val="44546A" w:themeColor="text2"/>
        </w:rPr>
        <w:t>The emission factor</w:t>
      </w:r>
      <w:r w:rsidR="000207FA">
        <w:rPr>
          <w:color w:val="44546A" w:themeColor="text2"/>
        </w:rPr>
        <w:t>s</w:t>
      </w:r>
      <w:r w:rsidR="00064F47" w:rsidRPr="00064F47">
        <w:rPr>
          <w:color w:val="44546A" w:themeColor="text2"/>
        </w:rPr>
        <w:t xml:space="preserve"> used to calculate the 2022 and 2023</w:t>
      </w:r>
      <w:r w:rsidR="00DF5CAE">
        <w:rPr>
          <w:color w:val="44546A" w:themeColor="text2"/>
        </w:rPr>
        <w:t xml:space="preserve"> emissions from purchased goods and services</w:t>
      </w:r>
      <w:r w:rsidR="00064F47" w:rsidRPr="00064F47">
        <w:rPr>
          <w:color w:val="44546A" w:themeColor="text2"/>
        </w:rPr>
        <w:t xml:space="preserve"> were not updated, as any difference was deemed minimal and not expected to have a material impact.</w:t>
      </w:r>
    </w:p>
    <w:p w14:paraId="5B45E733" w14:textId="683AF9E1" w:rsidR="00CF5CA8" w:rsidRPr="007619BA" w:rsidRDefault="00CF5CA8" w:rsidP="0006403A">
      <w:pPr>
        <w:pStyle w:val="Heading4"/>
        <w:rPr>
          <w:b w:val="0"/>
        </w:rPr>
      </w:pPr>
      <w:r w:rsidRPr="007619BA">
        <w:t>Inclusion and exclusion</w:t>
      </w:r>
    </w:p>
    <w:p w14:paraId="1A1A3BCF" w14:textId="384DFB41" w:rsidR="007B3DEC" w:rsidRDefault="004C1954" w:rsidP="009B6F36">
      <w:pPr>
        <w:jc w:val="both"/>
        <w:rPr>
          <w:color w:val="44546A" w:themeColor="text2"/>
        </w:rPr>
      </w:pPr>
      <w:r w:rsidRPr="00C24FAE">
        <w:rPr>
          <w:color w:val="44546A" w:themeColor="text2"/>
        </w:rPr>
        <w:t xml:space="preserve">The </w:t>
      </w:r>
      <w:proofErr w:type="spellStart"/>
      <w:r w:rsidR="008E5BCC">
        <w:rPr>
          <w:color w:val="44546A" w:themeColor="text2"/>
        </w:rPr>
        <w:t>o</w:t>
      </w:r>
      <w:r w:rsidR="007B3DEC" w:rsidRPr="00C24FAE">
        <w:rPr>
          <w:color w:val="44546A" w:themeColor="text2"/>
        </w:rPr>
        <w:t>pex</w:t>
      </w:r>
      <w:proofErr w:type="spellEnd"/>
      <w:r w:rsidR="007B3DEC" w:rsidRPr="00C24FAE">
        <w:rPr>
          <w:color w:val="44546A" w:themeColor="text2"/>
        </w:rPr>
        <w:t xml:space="preserve"> spend data from CAML</w:t>
      </w:r>
      <w:r w:rsidR="00B308D2" w:rsidRPr="00C24FAE">
        <w:rPr>
          <w:color w:val="44546A" w:themeColor="text2"/>
        </w:rPr>
        <w:t>’s</w:t>
      </w:r>
      <w:r w:rsidR="007B3DEC" w:rsidRPr="00C24FAE">
        <w:rPr>
          <w:color w:val="44546A" w:themeColor="text2"/>
        </w:rPr>
        <w:t xml:space="preserve"> accounting software </w:t>
      </w:r>
      <w:r w:rsidR="009B29A1" w:rsidRPr="00C24FAE">
        <w:rPr>
          <w:color w:val="44546A" w:themeColor="text2"/>
        </w:rPr>
        <w:t>is</w:t>
      </w:r>
      <w:r w:rsidR="007B3DEC" w:rsidRPr="00C24FAE">
        <w:rPr>
          <w:color w:val="44546A" w:themeColor="text2"/>
        </w:rPr>
        <w:t xml:space="preserve"> accurate</w:t>
      </w:r>
      <w:r w:rsidR="00B308D2" w:rsidRPr="00C24FAE">
        <w:rPr>
          <w:color w:val="44546A" w:themeColor="text2"/>
        </w:rPr>
        <w:t xml:space="preserve">, with analysis encompassing </w:t>
      </w:r>
      <w:r w:rsidR="009A3DA4" w:rsidRPr="00C24FAE">
        <w:rPr>
          <w:color w:val="44546A" w:themeColor="text2"/>
        </w:rPr>
        <w:t>98-100%</w:t>
      </w:r>
      <w:r w:rsidR="00B308D2" w:rsidRPr="00C24FAE">
        <w:rPr>
          <w:color w:val="44546A" w:themeColor="text2"/>
        </w:rPr>
        <w:t xml:space="preserve"> of expenditures</w:t>
      </w:r>
      <w:r w:rsidR="009A3DA4" w:rsidRPr="00C24FAE">
        <w:rPr>
          <w:color w:val="44546A" w:themeColor="text2"/>
        </w:rPr>
        <w:t xml:space="preserve"> per operation</w:t>
      </w:r>
      <w:r w:rsidR="009D38BF" w:rsidRPr="00C24FAE">
        <w:rPr>
          <w:color w:val="44546A" w:themeColor="text2"/>
        </w:rPr>
        <w:t>.</w:t>
      </w:r>
    </w:p>
    <w:p w14:paraId="4A8441DC" w14:textId="39555059" w:rsidR="0060229E" w:rsidRPr="0060229E" w:rsidRDefault="0060229E" w:rsidP="0060229E">
      <w:pPr>
        <w:jc w:val="both"/>
        <w:rPr>
          <w:color w:val="44546A" w:themeColor="text2"/>
        </w:rPr>
      </w:pPr>
      <w:r w:rsidRPr="00652658">
        <w:rPr>
          <w:color w:val="44546A" w:themeColor="text2"/>
        </w:rPr>
        <w:t>This category reflects purchased goods and services data associated with CAML’s operational sites: Kounrad and Sasa</w:t>
      </w:r>
      <w:r w:rsidRPr="0060229E">
        <w:rPr>
          <w:color w:val="44546A" w:themeColor="text2"/>
        </w:rPr>
        <w:t>.</w:t>
      </w:r>
    </w:p>
    <w:p w14:paraId="4EDF628C" w14:textId="77777777" w:rsidR="0060229E" w:rsidRPr="0060229E" w:rsidRDefault="0060229E" w:rsidP="0060229E">
      <w:pPr>
        <w:jc w:val="both"/>
        <w:rPr>
          <w:color w:val="44546A" w:themeColor="text2"/>
        </w:rPr>
      </w:pPr>
      <w:r w:rsidRPr="0060229E">
        <w:rPr>
          <w:color w:val="44546A" w:themeColor="text2"/>
        </w:rPr>
        <w:t>The following entities are excluded from the Scope 3 Category 1 assessment, based on considerations of operational relevance, data availability, and materiality:</w:t>
      </w:r>
    </w:p>
    <w:p w14:paraId="03FF8A40" w14:textId="77777777" w:rsidR="0060229E" w:rsidRDefault="0060229E" w:rsidP="0060229E">
      <w:pPr>
        <w:pStyle w:val="ListParagraph"/>
        <w:numPr>
          <w:ilvl w:val="0"/>
          <w:numId w:val="16"/>
        </w:numPr>
        <w:jc w:val="both"/>
        <w:rPr>
          <w:color w:val="44546A" w:themeColor="text2"/>
        </w:rPr>
      </w:pPr>
      <w:r w:rsidRPr="00863925">
        <w:rPr>
          <w:color w:val="44546A" w:themeColor="text2"/>
        </w:rPr>
        <w:t>CAML PLC (Head Office): Expenditure was excluded due to its limited contribution to total procurement-related emissions and overall immateriality in this category.</w:t>
      </w:r>
    </w:p>
    <w:p w14:paraId="41EC9702" w14:textId="0BCB9E15" w:rsidR="0060229E" w:rsidRDefault="0060229E" w:rsidP="0060229E">
      <w:pPr>
        <w:pStyle w:val="ListParagraph"/>
        <w:numPr>
          <w:ilvl w:val="0"/>
          <w:numId w:val="16"/>
        </w:numPr>
        <w:jc w:val="both"/>
        <w:rPr>
          <w:color w:val="44546A" w:themeColor="text2"/>
        </w:rPr>
      </w:pPr>
      <w:r w:rsidRPr="00863925">
        <w:rPr>
          <w:color w:val="44546A" w:themeColor="text2"/>
        </w:rPr>
        <w:t>CAML Exploration (</w:t>
      </w:r>
      <w:r w:rsidR="00206DE2">
        <w:rPr>
          <w:color w:val="44546A" w:themeColor="text2"/>
        </w:rPr>
        <w:t>‘</w:t>
      </w:r>
      <w:r w:rsidRPr="00863925">
        <w:rPr>
          <w:color w:val="44546A" w:themeColor="text2"/>
        </w:rPr>
        <w:t>CAML X</w:t>
      </w:r>
      <w:r w:rsidR="00206DE2">
        <w:rPr>
          <w:color w:val="44546A" w:themeColor="text2"/>
        </w:rPr>
        <w:t>’</w:t>
      </w:r>
      <w:r w:rsidRPr="00863925">
        <w:rPr>
          <w:color w:val="44546A" w:themeColor="text2"/>
        </w:rPr>
        <w:t xml:space="preserve">): An 80%-owned subsidiary established in early 2024 to conduct early-stage base metal exploration in Kazakhstan. CAML </w:t>
      </w:r>
      <w:r w:rsidRPr="00863925">
        <w:rPr>
          <w:color w:val="44546A" w:themeColor="text2"/>
        </w:rPr>
        <w:lastRenderedPageBreak/>
        <w:t>X’s activities are currently limited in scale and therefore considered immaterial for the purposes of this assessment.</w:t>
      </w:r>
    </w:p>
    <w:p w14:paraId="3D3274CD" w14:textId="501E9FFD" w:rsidR="00AB5F2C" w:rsidRPr="00863925" w:rsidRDefault="0060229E" w:rsidP="00863925">
      <w:pPr>
        <w:pStyle w:val="ListParagraph"/>
        <w:numPr>
          <w:ilvl w:val="0"/>
          <w:numId w:val="16"/>
        </w:numPr>
        <w:jc w:val="both"/>
        <w:rPr>
          <w:color w:val="44546A" w:themeColor="text2"/>
        </w:rPr>
      </w:pPr>
      <w:r w:rsidRPr="00863925">
        <w:rPr>
          <w:color w:val="44546A" w:themeColor="text2"/>
        </w:rPr>
        <w:t>Aberdeen Minerals (‘Aberdeen’): An associate in which CAML holds a 28.4% interest. As CAML does not have operational control over Aberdeen and its emissions contribution is minimal, it has been excluded in line with the control-based boundary approach.</w:t>
      </w:r>
    </w:p>
    <w:p w14:paraId="7E770793" w14:textId="3B67F87C" w:rsidR="001E543D" w:rsidRDefault="00CD5016">
      <w:pPr>
        <w:rPr>
          <w:color w:val="44546A" w:themeColor="text2"/>
        </w:rPr>
      </w:pPr>
      <w:r>
        <w:rPr>
          <w:color w:val="44546A" w:themeColor="text2"/>
        </w:rPr>
        <w:t>T</w:t>
      </w:r>
      <w:r w:rsidRPr="00CD5016">
        <w:rPr>
          <w:color w:val="44546A" w:themeColor="text2"/>
        </w:rPr>
        <w:t>he Quantis Scope 3 Evaluator</w:t>
      </w:r>
      <w:r w:rsidR="00435234">
        <w:rPr>
          <w:rStyle w:val="FootnoteReference"/>
          <w:color w:val="44546A" w:themeColor="text2"/>
        </w:rPr>
        <w:footnoteReference w:id="13"/>
      </w:r>
      <w:r w:rsidRPr="00CD5016">
        <w:rPr>
          <w:color w:val="44546A" w:themeColor="text2"/>
        </w:rPr>
        <w:t xml:space="preserve"> tool is no longer supported</w:t>
      </w:r>
      <w:r w:rsidR="00F058DE">
        <w:rPr>
          <w:color w:val="44546A" w:themeColor="text2"/>
        </w:rPr>
        <w:t xml:space="preserve"> and the WRI Scope 3 evaluator tool has been discontinued</w:t>
      </w:r>
      <w:r w:rsidRPr="00CD5016">
        <w:rPr>
          <w:color w:val="44546A" w:themeColor="text2"/>
        </w:rPr>
        <w:t xml:space="preserve">, prompting a transition to </w:t>
      </w:r>
      <w:proofErr w:type="spellStart"/>
      <w:r w:rsidRPr="00CD5016">
        <w:rPr>
          <w:color w:val="44546A" w:themeColor="text2"/>
        </w:rPr>
        <w:t>Exiobase</w:t>
      </w:r>
      <w:proofErr w:type="spellEnd"/>
      <w:r w:rsidR="00CF1C4C">
        <w:rPr>
          <w:rStyle w:val="FootnoteReference"/>
          <w:color w:val="44546A" w:themeColor="text2"/>
        </w:rPr>
        <w:footnoteReference w:id="14"/>
      </w:r>
      <w:r w:rsidRPr="00CD5016">
        <w:rPr>
          <w:color w:val="44546A" w:themeColor="text2"/>
        </w:rPr>
        <w:t xml:space="preserve"> for </w:t>
      </w:r>
      <w:r>
        <w:rPr>
          <w:color w:val="44546A" w:themeColor="text2"/>
        </w:rPr>
        <w:t>2024</w:t>
      </w:r>
      <w:r w:rsidRPr="00CD5016">
        <w:rPr>
          <w:color w:val="44546A" w:themeColor="text2"/>
        </w:rPr>
        <w:t xml:space="preserve"> year’s emissions disclosure. </w:t>
      </w:r>
      <w:proofErr w:type="spellStart"/>
      <w:r w:rsidRPr="00CD5016">
        <w:rPr>
          <w:color w:val="44546A" w:themeColor="text2"/>
        </w:rPr>
        <w:t>Exiobase</w:t>
      </w:r>
      <w:proofErr w:type="spellEnd"/>
      <w:r w:rsidRPr="00CD5016">
        <w:rPr>
          <w:color w:val="44546A" w:themeColor="text2"/>
        </w:rPr>
        <w:t xml:space="preserve"> was chosen for its broad geographic coverage and detailed industry data, making it well-suited for spend-based emission factor estimates.</w:t>
      </w:r>
      <w:r w:rsidR="001E543D">
        <w:rPr>
          <w:color w:val="44546A" w:themeColor="text2"/>
        </w:rPr>
        <w:br w:type="page"/>
      </w:r>
    </w:p>
    <w:p w14:paraId="5963C450" w14:textId="1DEFCA9E" w:rsidR="00312F57" w:rsidRPr="008F0D85" w:rsidRDefault="00C24FAE" w:rsidP="00C24FAE">
      <w:pPr>
        <w:pStyle w:val="Heading3"/>
      </w:pPr>
      <w:bookmarkStart w:id="16" w:name="_Toc194670371"/>
      <w:r>
        <w:lastRenderedPageBreak/>
        <w:t>C</w:t>
      </w:r>
      <w:r w:rsidR="00957F09" w:rsidRPr="008F0D85">
        <w:t>ategory 2 – Capital goods</w:t>
      </w:r>
      <w:bookmarkEnd w:id="16"/>
    </w:p>
    <w:tbl>
      <w:tblPr>
        <w:tblStyle w:val="GridTable5Dark-Accent2"/>
        <w:tblpPr w:leftFromText="180" w:rightFromText="180" w:vertAnchor="page" w:horzAnchor="margin" w:tblpY="1906"/>
        <w:tblW w:w="9067" w:type="dxa"/>
        <w:tblLook w:val="04A0" w:firstRow="1" w:lastRow="0" w:firstColumn="1" w:lastColumn="0" w:noHBand="0" w:noVBand="1"/>
      </w:tblPr>
      <w:tblGrid>
        <w:gridCol w:w="2689"/>
        <w:gridCol w:w="6378"/>
      </w:tblGrid>
      <w:tr w:rsidR="00C93BB2" w:rsidRPr="00B43CF5" w14:paraId="26541ECC" w14:textId="77777777" w:rsidTr="00C93BB2">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3E5C60"/>
          </w:tcPr>
          <w:p w14:paraId="4845517E" w14:textId="77777777" w:rsidR="00C93BB2" w:rsidRPr="00B43CF5" w:rsidRDefault="00C93BB2" w:rsidP="00C93BB2">
            <w:pPr>
              <w:jc w:val="both"/>
            </w:pPr>
            <w:r w:rsidRPr="00B43CF5">
              <w:br w:type="page"/>
              <w:t xml:space="preserve">Category 2 </w:t>
            </w:r>
          </w:p>
        </w:tc>
      </w:tr>
      <w:tr w:rsidR="00C93BB2" w:rsidRPr="00B43CF5" w14:paraId="7D326C9B" w14:textId="77777777" w:rsidTr="00A9699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89" w:type="dxa"/>
            <w:shd w:val="clear" w:color="auto" w:fill="3E5C60"/>
          </w:tcPr>
          <w:p w14:paraId="042E51A7" w14:textId="77777777" w:rsidR="00C93BB2" w:rsidRPr="00B43CF5" w:rsidRDefault="00C93BB2" w:rsidP="00C93BB2">
            <w:r w:rsidRPr="00B43CF5">
              <w:t>Description</w:t>
            </w:r>
          </w:p>
        </w:tc>
        <w:tc>
          <w:tcPr>
            <w:tcW w:w="6378" w:type="dxa"/>
            <w:shd w:val="clear" w:color="auto" w:fill="C3D5D7"/>
          </w:tcPr>
          <w:p w14:paraId="7FFF2977" w14:textId="149FA009" w:rsidR="00C93BB2" w:rsidRPr="009E2C0C"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9E2C0C">
              <w:rPr>
                <w:color w:val="44546A" w:themeColor="text2"/>
              </w:rPr>
              <w:t>GHG emissions from capital goods purchased by CAML in the reporting year. Capital goods are final products that have an extended life</w:t>
            </w:r>
            <w:r w:rsidR="00BC0DD0">
              <w:rPr>
                <w:color w:val="44546A" w:themeColor="text2"/>
              </w:rPr>
              <w:t>.</w:t>
            </w:r>
          </w:p>
          <w:p w14:paraId="7AE6A41A" w14:textId="77777777" w:rsidR="00C93BB2" w:rsidRPr="009E2C0C"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C93BB2" w:rsidRPr="00B43CF5" w14:paraId="2D7BC11C" w14:textId="77777777" w:rsidTr="00A9699A">
        <w:trPr>
          <w:trHeight w:val="249"/>
        </w:trPr>
        <w:tc>
          <w:tcPr>
            <w:cnfStyle w:val="001000000000" w:firstRow="0" w:lastRow="0" w:firstColumn="1" w:lastColumn="0" w:oddVBand="0" w:evenVBand="0" w:oddHBand="0" w:evenHBand="0" w:firstRowFirstColumn="0" w:firstRowLastColumn="0" w:lastRowFirstColumn="0" w:lastRowLastColumn="0"/>
            <w:tcW w:w="2689" w:type="dxa"/>
            <w:shd w:val="clear" w:color="auto" w:fill="3E5C60"/>
          </w:tcPr>
          <w:p w14:paraId="127D7D8F" w14:textId="77777777" w:rsidR="00C93BB2" w:rsidRPr="000B4104" w:rsidRDefault="00C93BB2" w:rsidP="00C93BB2">
            <w:r w:rsidRPr="000B4104">
              <w:t>Emissions (</w:t>
            </w:r>
            <w:r w:rsidRPr="000B4104">
              <w:rPr>
                <w:rFonts w:eastAsia="Times New Roman"/>
              </w:rPr>
              <w:t>tCO</w:t>
            </w:r>
            <w:r w:rsidRPr="000B4104">
              <w:rPr>
                <w:rFonts w:eastAsia="Times New Roman"/>
                <w:vertAlign w:val="subscript"/>
              </w:rPr>
              <w:t>2</w:t>
            </w:r>
            <w:r w:rsidRPr="000B4104">
              <w:rPr>
                <w:rFonts w:eastAsia="Times New Roman"/>
              </w:rPr>
              <w:t>e)</w:t>
            </w:r>
          </w:p>
        </w:tc>
        <w:tc>
          <w:tcPr>
            <w:tcW w:w="6378" w:type="dxa"/>
            <w:shd w:val="clear" w:color="auto" w:fill="E1EAEB"/>
          </w:tcPr>
          <w:p w14:paraId="7346852D" w14:textId="315AB61B" w:rsidR="00C93BB2" w:rsidRPr="000B4104" w:rsidRDefault="00EE157E" w:rsidP="00C93BB2">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DA35A0">
              <w:rPr>
                <w:color w:val="44546A" w:themeColor="text2"/>
              </w:rPr>
              <w:t>3</w:t>
            </w:r>
            <w:r w:rsidR="00C93BB2" w:rsidRPr="000B4104">
              <w:rPr>
                <w:color w:val="44546A" w:themeColor="text2"/>
              </w:rPr>
              <w:t>,4</w:t>
            </w:r>
            <w:r w:rsidRPr="00F058DE">
              <w:rPr>
                <w:color w:val="44546A" w:themeColor="text2"/>
              </w:rPr>
              <w:t>96</w:t>
            </w:r>
            <w:r w:rsidR="00C93BB2" w:rsidRPr="000B4104">
              <w:rPr>
                <w:color w:val="44546A" w:themeColor="text2"/>
              </w:rPr>
              <w:t xml:space="preserve"> (202</w:t>
            </w:r>
            <w:r w:rsidR="00FC5A8F" w:rsidRPr="00DA35A0">
              <w:rPr>
                <w:color w:val="44546A" w:themeColor="text2"/>
              </w:rPr>
              <w:t>3</w:t>
            </w:r>
            <w:r w:rsidR="00C93BB2" w:rsidRPr="000B4104">
              <w:rPr>
                <w:color w:val="44546A" w:themeColor="text2"/>
              </w:rPr>
              <w:t xml:space="preserve">: </w:t>
            </w:r>
            <w:r w:rsidR="00FC5A8F" w:rsidRPr="00DA35A0">
              <w:rPr>
                <w:color w:val="44546A" w:themeColor="text2"/>
              </w:rPr>
              <w:t>11</w:t>
            </w:r>
            <w:r w:rsidR="00C93BB2" w:rsidRPr="000B4104">
              <w:rPr>
                <w:color w:val="44546A" w:themeColor="text2"/>
              </w:rPr>
              <w:t>,</w:t>
            </w:r>
            <w:r w:rsidR="00FC5A8F" w:rsidRPr="00DA35A0">
              <w:rPr>
                <w:color w:val="44546A" w:themeColor="text2"/>
              </w:rPr>
              <w:t>415</w:t>
            </w:r>
            <w:r w:rsidR="00C93BB2" w:rsidRPr="000B4104">
              <w:rPr>
                <w:color w:val="44546A" w:themeColor="text2"/>
              </w:rPr>
              <w:t>)</w:t>
            </w:r>
          </w:p>
          <w:p w14:paraId="73701252" w14:textId="77777777" w:rsidR="00C93BB2" w:rsidRPr="000B4104" w:rsidRDefault="00C93BB2" w:rsidP="00C93BB2">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C93BB2" w:rsidRPr="00B43CF5" w14:paraId="6075A205" w14:textId="77777777" w:rsidTr="00A9699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689" w:type="dxa"/>
            <w:shd w:val="clear" w:color="auto" w:fill="3E5C60"/>
          </w:tcPr>
          <w:p w14:paraId="7FAC299B" w14:textId="2B31019D" w:rsidR="00C93BB2" w:rsidRPr="00B43CF5" w:rsidRDefault="00C93BB2" w:rsidP="00C93BB2">
            <w:r w:rsidRPr="00B43CF5">
              <w:t>Calculation</w:t>
            </w:r>
            <w:r w:rsidR="00C771D5">
              <w:t xml:space="preserve"> method</w:t>
            </w:r>
          </w:p>
        </w:tc>
        <w:tc>
          <w:tcPr>
            <w:tcW w:w="6378" w:type="dxa"/>
            <w:shd w:val="clear" w:color="auto" w:fill="C3D5D7"/>
          </w:tcPr>
          <w:p w14:paraId="0AC528BB" w14:textId="58C9FEF7" w:rsidR="00C93BB2" w:rsidRPr="009E2C0C"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9E2C0C">
              <w:rPr>
                <w:color w:val="44546A" w:themeColor="text2"/>
              </w:rPr>
              <w:t>Spend-based approach</w:t>
            </w:r>
          </w:p>
          <w:p w14:paraId="48B84681" w14:textId="77777777" w:rsidR="00C93BB2" w:rsidRPr="009E2C0C"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C93BB2" w:rsidRPr="00B43CF5" w14:paraId="598164D9" w14:textId="77777777" w:rsidTr="00A9699A">
        <w:trPr>
          <w:trHeight w:val="249"/>
        </w:trPr>
        <w:tc>
          <w:tcPr>
            <w:cnfStyle w:val="001000000000" w:firstRow="0" w:lastRow="0" w:firstColumn="1" w:lastColumn="0" w:oddVBand="0" w:evenVBand="0" w:oddHBand="0" w:evenHBand="0" w:firstRowFirstColumn="0" w:firstRowLastColumn="0" w:lastRowFirstColumn="0" w:lastRowLastColumn="0"/>
            <w:tcW w:w="2689" w:type="dxa"/>
            <w:shd w:val="clear" w:color="auto" w:fill="3E5C60"/>
          </w:tcPr>
          <w:p w14:paraId="1BD58DE2" w14:textId="77777777" w:rsidR="00C93BB2" w:rsidRPr="00B43CF5" w:rsidRDefault="00C93BB2" w:rsidP="00C93BB2">
            <w:r w:rsidRPr="00B43CF5">
              <w:t>Activity data source</w:t>
            </w:r>
          </w:p>
        </w:tc>
        <w:tc>
          <w:tcPr>
            <w:tcW w:w="6378" w:type="dxa"/>
            <w:shd w:val="clear" w:color="auto" w:fill="E1EAEB"/>
          </w:tcPr>
          <w:p w14:paraId="6AB0D870" w14:textId="14727AEE" w:rsidR="00C93BB2" w:rsidRPr="009E2C0C" w:rsidRDefault="00C93BB2" w:rsidP="00C93BB2">
            <w:pPr>
              <w:jc w:val="both"/>
              <w:cnfStyle w:val="000000000000" w:firstRow="0" w:lastRow="0" w:firstColumn="0" w:lastColumn="0" w:oddVBand="0" w:evenVBand="0" w:oddHBand="0" w:evenHBand="0" w:firstRowFirstColumn="0" w:firstRowLastColumn="0" w:lastRowFirstColumn="0" w:lastRowLastColumn="0"/>
              <w:rPr>
                <w:color w:val="44546A" w:themeColor="text2"/>
                <w:lang w:val="en-CA"/>
              </w:rPr>
            </w:pPr>
            <w:r w:rsidRPr="009E2C0C">
              <w:rPr>
                <w:color w:val="44546A" w:themeColor="text2"/>
                <w:lang w:val="en-CA"/>
              </w:rPr>
              <w:t>CAML accounting software data of all Capex supplier payments (pre-tax)</w:t>
            </w:r>
            <w:r w:rsidR="00C771D5">
              <w:rPr>
                <w:color w:val="44546A" w:themeColor="text2"/>
                <w:lang w:val="en-CA"/>
              </w:rPr>
              <w:t>,</w:t>
            </w:r>
            <w:r w:rsidRPr="009E2C0C">
              <w:rPr>
                <w:color w:val="44546A" w:themeColor="text2"/>
                <w:lang w:val="en-CA"/>
              </w:rPr>
              <w:t xml:space="preserve"> according to industry categories</w:t>
            </w:r>
            <w:r w:rsidR="00BC0DD0">
              <w:rPr>
                <w:color w:val="44546A" w:themeColor="text2"/>
                <w:lang w:val="en-CA"/>
              </w:rPr>
              <w:t>.</w:t>
            </w:r>
          </w:p>
          <w:p w14:paraId="1D6C2984" w14:textId="77777777" w:rsidR="00C93BB2" w:rsidRPr="009E2C0C" w:rsidRDefault="00C93BB2" w:rsidP="00C93BB2">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C93BB2" w:rsidRPr="00B43CF5" w14:paraId="5C91ED46" w14:textId="77777777" w:rsidTr="00A9699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689" w:type="dxa"/>
            <w:shd w:val="clear" w:color="auto" w:fill="3E5C60"/>
          </w:tcPr>
          <w:p w14:paraId="5406C600" w14:textId="77777777" w:rsidR="00C93BB2" w:rsidRPr="00B43CF5" w:rsidRDefault="00C93BB2" w:rsidP="00C93BB2">
            <w:r w:rsidRPr="00B43CF5">
              <w:t>Emissions data source</w:t>
            </w:r>
          </w:p>
        </w:tc>
        <w:tc>
          <w:tcPr>
            <w:tcW w:w="6378" w:type="dxa"/>
            <w:shd w:val="clear" w:color="auto" w:fill="C3D5D7"/>
          </w:tcPr>
          <w:p w14:paraId="61DEBD66" w14:textId="43E38978" w:rsidR="00C67368" w:rsidRPr="009E2C0C" w:rsidRDefault="00A01D49"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proofErr w:type="spellStart"/>
            <w:r>
              <w:rPr>
                <w:color w:val="44546A" w:themeColor="text2"/>
              </w:rPr>
              <w:t>Exiobase</w:t>
            </w:r>
            <w:proofErr w:type="spellEnd"/>
            <w:r w:rsidRPr="009E2C0C" w:rsidDel="00A01D49">
              <w:rPr>
                <w:color w:val="44546A" w:themeColor="text2"/>
              </w:rPr>
              <w:t xml:space="preserve"> </w:t>
            </w:r>
            <w:r>
              <w:rPr>
                <w:color w:val="44546A" w:themeColor="text2"/>
              </w:rPr>
              <w:t>database</w:t>
            </w:r>
            <w:r w:rsidR="00C93BB2" w:rsidRPr="009E2C0C">
              <w:rPr>
                <w:rStyle w:val="FootnoteReference"/>
                <w:color w:val="44546A" w:themeColor="text2"/>
              </w:rPr>
              <w:footnoteReference w:id="15"/>
            </w:r>
            <w:r w:rsidR="00C93BB2" w:rsidRPr="009E2C0C">
              <w:rPr>
                <w:color w:val="44546A" w:themeColor="text2"/>
              </w:rPr>
              <w:t xml:space="preserve"> and the World Input – Output Database GHG evaluator</w:t>
            </w:r>
            <w:r w:rsidR="00C93BB2" w:rsidRPr="009E2C0C">
              <w:rPr>
                <w:rStyle w:val="FootnoteReference"/>
                <w:color w:val="44546A" w:themeColor="text2"/>
              </w:rPr>
              <w:footnoteReference w:id="16"/>
            </w:r>
            <w:r w:rsidR="00BC0DD0">
              <w:rPr>
                <w:color w:val="44546A" w:themeColor="text2"/>
              </w:rPr>
              <w:t>.</w:t>
            </w:r>
            <w:r w:rsidR="00C93BB2" w:rsidRPr="009E2C0C">
              <w:rPr>
                <w:color w:val="44546A" w:themeColor="text2"/>
              </w:rPr>
              <w:t xml:space="preserve"> </w:t>
            </w:r>
          </w:p>
          <w:p w14:paraId="0E4A89B7" w14:textId="77777777" w:rsidR="00C93BB2" w:rsidRPr="009E2C0C"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bl>
    <w:p w14:paraId="0480BDB3" w14:textId="77777777" w:rsidR="0042784D" w:rsidRDefault="0042784D" w:rsidP="00E325F9">
      <w:pPr>
        <w:jc w:val="both"/>
      </w:pPr>
    </w:p>
    <w:p w14:paraId="65D96E39" w14:textId="77777777" w:rsidR="00623A5D" w:rsidRPr="008F0D85" w:rsidRDefault="00623A5D" w:rsidP="009E2C0C">
      <w:pPr>
        <w:pStyle w:val="Heading4"/>
      </w:pPr>
      <w:r w:rsidRPr="008F0D85">
        <w:t>Boundaries</w:t>
      </w:r>
    </w:p>
    <w:p w14:paraId="21B3536C" w14:textId="77948F18" w:rsidR="00203133" w:rsidRPr="008F0D85" w:rsidRDefault="00F92CCC" w:rsidP="009E2C0C">
      <w:pPr>
        <w:tabs>
          <w:tab w:val="left" w:pos="4820"/>
        </w:tabs>
        <w:jc w:val="both"/>
        <w:rPr>
          <w:color w:val="44546A" w:themeColor="text2"/>
        </w:rPr>
      </w:pPr>
      <w:r w:rsidRPr="008F0D85">
        <w:rPr>
          <w:color w:val="44546A" w:themeColor="text2"/>
        </w:rPr>
        <w:t xml:space="preserve">This category covers emissions upstream of CAML’s operations </w:t>
      </w:r>
      <w:r w:rsidR="00957F09" w:rsidRPr="008F0D85">
        <w:rPr>
          <w:color w:val="44546A" w:themeColor="text2"/>
        </w:rPr>
        <w:t>associated with</w:t>
      </w:r>
      <w:r w:rsidRPr="008F0D85">
        <w:rPr>
          <w:color w:val="44546A" w:themeColor="text2"/>
        </w:rPr>
        <w:t xml:space="preserve"> capital goods </w:t>
      </w:r>
      <w:r w:rsidR="00957F09" w:rsidRPr="008F0D85">
        <w:rPr>
          <w:color w:val="44546A" w:themeColor="text2"/>
        </w:rPr>
        <w:t>procured</w:t>
      </w:r>
      <w:r w:rsidRPr="008F0D85">
        <w:rPr>
          <w:color w:val="44546A" w:themeColor="text2"/>
        </w:rPr>
        <w:t xml:space="preserve"> in the reporting year. </w:t>
      </w:r>
      <w:proofErr w:type="gramStart"/>
      <w:r w:rsidR="005851B0" w:rsidRPr="008F0D85">
        <w:rPr>
          <w:color w:val="44546A" w:themeColor="text2"/>
        </w:rPr>
        <w:t>Similar</w:t>
      </w:r>
      <w:r w:rsidR="00CF4479" w:rsidRPr="008F0D85">
        <w:rPr>
          <w:color w:val="44546A" w:themeColor="text2"/>
        </w:rPr>
        <w:t xml:space="preserve"> to</w:t>
      </w:r>
      <w:proofErr w:type="gramEnd"/>
      <w:r w:rsidR="00CF4479" w:rsidRPr="008F0D85">
        <w:rPr>
          <w:color w:val="44546A" w:themeColor="text2"/>
        </w:rPr>
        <w:t xml:space="preserve"> </w:t>
      </w:r>
      <w:r w:rsidR="004A24A7" w:rsidRPr="008F0D85">
        <w:rPr>
          <w:color w:val="44546A" w:themeColor="text2"/>
        </w:rPr>
        <w:t>category 1 emissions, the e</w:t>
      </w:r>
      <w:r w:rsidRPr="008F0D85">
        <w:rPr>
          <w:color w:val="44546A" w:themeColor="text2"/>
        </w:rPr>
        <w:t xml:space="preserve">missions related to fuel and energy activities, upstream transportation, business travel, and employee commuting are </w:t>
      </w:r>
      <w:r w:rsidR="004A24A7" w:rsidRPr="008F0D85">
        <w:rPr>
          <w:color w:val="44546A" w:themeColor="text2"/>
        </w:rPr>
        <w:t>accounted in separate categories</w:t>
      </w:r>
      <w:r w:rsidRPr="008F0D85">
        <w:rPr>
          <w:color w:val="44546A" w:themeColor="text2"/>
        </w:rPr>
        <w:t>, as per Scope 3 Standard recommendations.</w:t>
      </w:r>
    </w:p>
    <w:p w14:paraId="53762A76" w14:textId="77777777" w:rsidR="00C4116E" w:rsidRPr="00EF7FC4" w:rsidRDefault="00C4116E" w:rsidP="009E2C0C">
      <w:pPr>
        <w:pStyle w:val="Heading4"/>
      </w:pPr>
      <w:r w:rsidRPr="008F0D85">
        <w:t>Calculation method</w:t>
      </w:r>
    </w:p>
    <w:p w14:paraId="41B45F78" w14:textId="5B8609E5" w:rsidR="00203133" w:rsidRPr="008F0D85" w:rsidRDefault="004C1954" w:rsidP="00264271">
      <w:pPr>
        <w:tabs>
          <w:tab w:val="left" w:pos="4820"/>
        </w:tabs>
        <w:jc w:val="both"/>
        <w:rPr>
          <w:color w:val="44546A" w:themeColor="text2"/>
        </w:rPr>
      </w:pPr>
      <w:r w:rsidRPr="00EF7FC4">
        <w:rPr>
          <w:color w:val="44546A" w:themeColor="text2"/>
        </w:rPr>
        <w:t>The t</w:t>
      </w:r>
      <w:r w:rsidR="00C4116E" w:rsidRPr="00EF7FC4">
        <w:rPr>
          <w:color w:val="44546A" w:themeColor="text2"/>
        </w:rPr>
        <w:t xml:space="preserve">otal </w:t>
      </w:r>
      <w:r w:rsidR="00353CAE" w:rsidRPr="00EF7FC4">
        <w:rPr>
          <w:color w:val="44546A" w:themeColor="text2"/>
        </w:rPr>
        <w:t>Capital expenditure (</w:t>
      </w:r>
      <w:r w:rsidR="00E42E82">
        <w:rPr>
          <w:color w:val="44546A" w:themeColor="text2"/>
        </w:rPr>
        <w:t>capex</w:t>
      </w:r>
      <w:r w:rsidR="00353CAE" w:rsidRPr="00EF7FC4">
        <w:rPr>
          <w:color w:val="44546A" w:themeColor="text2"/>
        </w:rPr>
        <w:t>)</w:t>
      </w:r>
      <w:r w:rsidR="00C4116E" w:rsidRPr="00EF7FC4">
        <w:rPr>
          <w:color w:val="44546A" w:themeColor="text2"/>
        </w:rPr>
        <w:t xml:space="preserve"> spend</w:t>
      </w:r>
      <w:r w:rsidR="00C4116E" w:rsidRPr="008F0D85">
        <w:rPr>
          <w:color w:val="44546A" w:themeColor="text2"/>
        </w:rPr>
        <w:t xml:space="preserve"> in US dollars for the year ended 31 December 202</w:t>
      </w:r>
      <w:r w:rsidR="00FC5A8F">
        <w:rPr>
          <w:color w:val="44546A" w:themeColor="text2"/>
        </w:rPr>
        <w:t>4</w:t>
      </w:r>
      <w:r w:rsidR="00C4116E" w:rsidRPr="008F0D85">
        <w:rPr>
          <w:color w:val="44546A" w:themeColor="text2"/>
        </w:rPr>
        <w:t xml:space="preserve"> was extracted from our accounting software, categorised into industry according to </w:t>
      </w:r>
      <w:proofErr w:type="spellStart"/>
      <w:r w:rsidR="00FC5A8F">
        <w:rPr>
          <w:color w:val="44546A" w:themeColor="text2"/>
        </w:rPr>
        <w:t>Exiobase</w:t>
      </w:r>
      <w:proofErr w:type="spellEnd"/>
      <w:r w:rsidR="00C4116E" w:rsidRPr="008F0D85">
        <w:rPr>
          <w:color w:val="44546A" w:themeColor="text2"/>
        </w:rPr>
        <w:t xml:space="preserve">. </w:t>
      </w:r>
      <w:r w:rsidR="00C4116E" w:rsidRPr="00863925">
        <w:rPr>
          <w:color w:val="44546A" w:themeColor="text2"/>
          <w:highlight w:val="yellow"/>
        </w:rPr>
        <w:t xml:space="preserve">This </w:t>
      </w:r>
      <w:r w:rsidR="00E42E82" w:rsidRPr="00863925">
        <w:rPr>
          <w:color w:val="44546A" w:themeColor="text2"/>
          <w:highlight w:val="yellow"/>
        </w:rPr>
        <w:t xml:space="preserve">capex </w:t>
      </w:r>
      <w:r w:rsidR="00C4116E" w:rsidRPr="00863925">
        <w:rPr>
          <w:color w:val="44546A" w:themeColor="text2"/>
          <w:highlight w:val="yellow"/>
        </w:rPr>
        <w:t xml:space="preserve">spend was then discounted to </w:t>
      </w:r>
      <w:r w:rsidR="009A5798">
        <w:rPr>
          <w:color w:val="44546A" w:themeColor="text2"/>
          <w:highlight w:val="yellow"/>
        </w:rPr>
        <w:t>its</w:t>
      </w:r>
      <w:r w:rsidR="00C4116E" w:rsidRPr="00863925">
        <w:rPr>
          <w:color w:val="44546A" w:themeColor="text2"/>
          <w:highlight w:val="yellow"/>
        </w:rPr>
        <w:t xml:space="preserve"> 201</w:t>
      </w:r>
      <w:r w:rsidR="00FC5A8F" w:rsidRPr="00863925">
        <w:rPr>
          <w:color w:val="44546A" w:themeColor="text2"/>
          <w:highlight w:val="yellow"/>
        </w:rPr>
        <w:t>9</w:t>
      </w:r>
      <w:r w:rsidR="00C4116E" w:rsidRPr="00863925">
        <w:rPr>
          <w:color w:val="44546A" w:themeColor="text2"/>
          <w:highlight w:val="yellow"/>
        </w:rPr>
        <w:t xml:space="preserve"> equivalent spend</w:t>
      </w:r>
      <w:r w:rsidR="009A5798">
        <w:rPr>
          <w:color w:val="44546A" w:themeColor="text2"/>
          <w:highlight w:val="yellow"/>
        </w:rPr>
        <w:t>, which</w:t>
      </w:r>
      <w:r w:rsidR="00C4116E" w:rsidRPr="00863925">
        <w:rPr>
          <w:color w:val="44546A" w:themeColor="text2"/>
          <w:highlight w:val="yellow"/>
        </w:rPr>
        <w:t xml:space="preserve"> </w:t>
      </w:r>
      <w:r w:rsidR="00EF022F" w:rsidRPr="00863925">
        <w:rPr>
          <w:color w:val="44546A" w:themeColor="text2"/>
          <w:highlight w:val="yellow"/>
        </w:rPr>
        <w:t xml:space="preserve">was then </w:t>
      </w:r>
      <w:r w:rsidR="00C4116E" w:rsidRPr="00863925">
        <w:rPr>
          <w:color w:val="44546A" w:themeColor="text2"/>
          <w:highlight w:val="yellow"/>
        </w:rPr>
        <w:t xml:space="preserve">multiplied by </w:t>
      </w:r>
      <w:r w:rsidR="00AF052B">
        <w:rPr>
          <w:color w:val="44546A" w:themeColor="text2"/>
          <w:highlight w:val="yellow"/>
        </w:rPr>
        <w:t>the relevant industry</w:t>
      </w:r>
      <w:r w:rsidR="00C4116E" w:rsidRPr="00863925">
        <w:rPr>
          <w:color w:val="44546A" w:themeColor="text2"/>
          <w:highlight w:val="yellow"/>
        </w:rPr>
        <w:t xml:space="preserve"> emission factor </w:t>
      </w:r>
      <w:r w:rsidR="00AF052B">
        <w:rPr>
          <w:color w:val="44546A" w:themeColor="text2"/>
          <w:highlight w:val="yellow"/>
        </w:rPr>
        <w:t>from</w:t>
      </w:r>
      <w:r w:rsidR="00C4116E" w:rsidRPr="00863925">
        <w:rPr>
          <w:color w:val="44546A" w:themeColor="text2"/>
          <w:highlight w:val="yellow"/>
        </w:rPr>
        <w:t xml:space="preserve"> the </w:t>
      </w:r>
      <w:proofErr w:type="spellStart"/>
      <w:r w:rsidR="00A01D49" w:rsidRPr="00863925">
        <w:rPr>
          <w:color w:val="44546A" w:themeColor="text2"/>
          <w:highlight w:val="yellow"/>
        </w:rPr>
        <w:t>Exiobase</w:t>
      </w:r>
      <w:proofErr w:type="spellEnd"/>
      <w:r w:rsidR="00C4116E" w:rsidRPr="00863925">
        <w:rPr>
          <w:color w:val="44546A" w:themeColor="text2"/>
          <w:highlight w:val="yellow"/>
        </w:rPr>
        <w:t xml:space="preserve"> and the World Input </w:t>
      </w:r>
      <w:r w:rsidR="001A5AF6" w:rsidRPr="00863925">
        <w:rPr>
          <w:color w:val="44546A" w:themeColor="text2"/>
          <w:highlight w:val="yellow"/>
        </w:rPr>
        <w:t>using the</w:t>
      </w:r>
      <w:r w:rsidR="00C4116E" w:rsidRPr="00863925">
        <w:rPr>
          <w:color w:val="44546A" w:themeColor="text2"/>
          <w:highlight w:val="yellow"/>
        </w:rPr>
        <w:t xml:space="preserve"> Output Database GHG evaluator </w:t>
      </w:r>
      <w:r w:rsidR="001A5AF6" w:rsidRPr="00863925">
        <w:rPr>
          <w:color w:val="44546A" w:themeColor="text2"/>
          <w:highlight w:val="yellow"/>
        </w:rPr>
        <w:t>(</w:t>
      </w:r>
      <w:r w:rsidR="00C4116E" w:rsidRPr="00863925">
        <w:rPr>
          <w:color w:val="44546A" w:themeColor="text2"/>
          <w:highlight w:val="yellow"/>
        </w:rPr>
        <w:t>an online tool that provides a t</w:t>
      </w:r>
      <w:r w:rsidR="00A80960" w:rsidRPr="00863925">
        <w:rPr>
          <w:color w:val="44546A" w:themeColor="text2"/>
          <w:highlight w:val="yellow"/>
        </w:rPr>
        <w:t>onne</w:t>
      </w:r>
      <w:r w:rsidR="00C4116E" w:rsidRPr="00863925">
        <w:rPr>
          <w:color w:val="44546A" w:themeColor="text2"/>
          <w:highlight w:val="yellow"/>
        </w:rPr>
        <w:t xml:space="preserve"> of C</w:t>
      </w:r>
      <w:r w:rsidR="00A80960" w:rsidRPr="00863925">
        <w:rPr>
          <w:color w:val="44546A" w:themeColor="text2"/>
          <w:highlight w:val="yellow"/>
        </w:rPr>
        <w:t>O</w:t>
      </w:r>
      <w:r w:rsidR="00C4116E" w:rsidRPr="00863925">
        <w:rPr>
          <w:color w:val="44546A" w:themeColor="text2"/>
          <w:highlight w:val="yellow"/>
          <w:vertAlign w:val="subscript"/>
        </w:rPr>
        <w:t>2</w:t>
      </w:r>
      <w:r w:rsidR="00C4116E" w:rsidRPr="00863925">
        <w:rPr>
          <w:color w:val="44546A" w:themeColor="text2"/>
          <w:highlight w:val="yellow"/>
        </w:rPr>
        <w:t>-eq/$ spend that can be applied to supplier payments</w:t>
      </w:r>
      <w:r w:rsidR="0048593C" w:rsidRPr="00863925">
        <w:rPr>
          <w:color w:val="44546A" w:themeColor="text2"/>
          <w:highlight w:val="yellow"/>
        </w:rPr>
        <w:t>)</w:t>
      </w:r>
      <w:r w:rsidR="00264271">
        <w:rPr>
          <w:color w:val="44546A" w:themeColor="text2"/>
          <w:highlight w:val="yellow"/>
        </w:rPr>
        <w:t xml:space="preserve">, </w:t>
      </w:r>
      <w:r w:rsidR="00203133" w:rsidRPr="00863925">
        <w:rPr>
          <w:color w:val="44546A" w:themeColor="text2"/>
          <w:highlight w:val="yellow"/>
        </w:rPr>
        <w:t>yielding</w:t>
      </w:r>
      <w:r w:rsidR="00264271">
        <w:rPr>
          <w:color w:val="44546A" w:themeColor="text2"/>
          <w:highlight w:val="yellow"/>
        </w:rPr>
        <w:t xml:space="preserve"> </w:t>
      </w:r>
      <w:r w:rsidR="00203133" w:rsidRPr="00863925">
        <w:rPr>
          <w:color w:val="44546A" w:themeColor="text2"/>
          <w:highlight w:val="yellow"/>
        </w:rPr>
        <w:t>total emissions in kg CO</w:t>
      </w:r>
      <w:r w:rsidR="00203133" w:rsidRPr="00863925">
        <w:rPr>
          <w:color w:val="44546A" w:themeColor="text2"/>
          <w:highlight w:val="yellow"/>
          <w:vertAlign w:val="subscript"/>
        </w:rPr>
        <w:t>2</w:t>
      </w:r>
      <w:r w:rsidR="00203133" w:rsidRPr="00863925">
        <w:rPr>
          <w:color w:val="44546A" w:themeColor="text2"/>
          <w:highlight w:val="yellow"/>
        </w:rPr>
        <w:t xml:space="preserve">e and then converted to </w:t>
      </w:r>
      <w:r w:rsidR="00203133" w:rsidRPr="00863925">
        <w:rPr>
          <w:rFonts w:eastAsia="Times New Roman"/>
          <w:color w:val="44546A" w:themeColor="text2"/>
          <w:highlight w:val="yellow"/>
        </w:rPr>
        <w:t>tCO</w:t>
      </w:r>
      <w:r w:rsidR="00203133" w:rsidRPr="00863925">
        <w:rPr>
          <w:rFonts w:eastAsia="Times New Roman"/>
          <w:color w:val="44546A" w:themeColor="text2"/>
          <w:highlight w:val="yellow"/>
          <w:vertAlign w:val="subscript"/>
        </w:rPr>
        <w:t>2</w:t>
      </w:r>
      <w:r w:rsidR="00203133" w:rsidRPr="00863925">
        <w:rPr>
          <w:rFonts w:eastAsia="Times New Roman"/>
          <w:color w:val="44546A" w:themeColor="text2"/>
          <w:highlight w:val="yellow"/>
        </w:rPr>
        <w:t>e</w:t>
      </w:r>
      <w:r w:rsidR="00203133" w:rsidRPr="00863925">
        <w:rPr>
          <w:color w:val="44546A" w:themeColor="text2"/>
          <w:highlight w:val="yellow"/>
        </w:rPr>
        <w:t xml:space="preserve"> in the summary of emissions.</w:t>
      </w:r>
    </w:p>
    <w:p w14:paraId="34D26B9B" w14:textId="77777777" w:rsidR="00EA4ACE" w:rsidRDefault="00EA4ACE" w:rsidP="009E2C0C">
      <w:pPr>
        <w:pStyle w:val="Heading4"/>
      </w:pPr>
    </w:p>
    <w:p w14:paraId="61665B85" w14:textId="67B20E10" w:rsidR="00623A5D" w:rsidRPr="008F0D85" w:rsidRDefault="00623A5D" w:rsidP="009E2C0C">
      <w:pPr>
        <w:pStyle w:val="Heading4"/>
      </w:pPr>
      <w:r w:rsidRPr="008F0D85">
        <w:t>Assumptions</w:t>
      </w:r>
    </w:p>
    <w:p w14:paraId="2CEB352E" w14:textId="3D0FF73D" w:rsidR="00643A6D" w:rsidRPr="008F0D85" w:rsidRDefault="007B11C9" w:rsidP="006E4E83">
      <w:pPr>
        <w:jc w:val="both"/>
        <w:rPr>
          <w:color w:val="44546A" w:themeColor="text2"/>
        </w:rPr>
      </w:pPr>
      <w:r w:rsidRPr="008F0D85">
        <w:rPr>
          <w:color w:val="44546A" w:themeColor="text2"/>
        </w:rPr>
        <w:t xml:space="preserve">Capex </w:t>
      </w:r>
      <w:r w:rsidR="006E4E83" w:rsidRPr="008F0D85">
        <w:rPr>
          <w:color w:val="44546A" w:themeColor="text2"/>
        </w:rPr>
        <w:t xml:space="preserve">data from at least </w:t>
      </w:r>
      <w:r w:rsidR="005851B0" w:rsidRPr="008F0D85">
        <w:rPr>
          <w:color w:val="44546A" w:themeColor="text2"/>
        </w:rPr>
        <w:t>98</w:t>
      </w:r>
      <w:r w:rsidR="006E4E83" w:rsidRPr="008F0D85">
        <w:rPr>
          <w:color w:val="44546A" w:themeColor="text2"/>
        </w:rPr>
        <w:t xml:space="preserve">% </w:t>
      </w:r>
      <w:r w:rsidR="00643A6D" w:rsidRPr="008F0D85">
        <w:rPr>
          <w:color w:val="44546A" w:themeColor="text2"/>
        </w:rPr>
        <w:t xml:space="preserve">of our operations </w:t>
      </w:r>
      <w:r w:rsidR="008430D3" w:rsidRPr="008F0D85">
        <w:rPr>
          <w:color w:val="44546A" w:themeColor="text2"/>
        </w:rPr>
        <w:t>was</w:t>
      </w:r>
      <w:r w:rsidR="00643A6D" w:rsidRPr="008F0D85">
        <w:rPr>
          <w:color w:val="44546A" w:themeColor="text2"/>
        </w:rPr>
        <w:t xml:space="preserve"> delineated into distinct purchase types: capital goods.</w:t>
      </w:r>
    </w:p>
    <w:p w14:paraId="79C47482" w14:textId="065A6A38" w:rsidR="001011F4" w:rsidRDefault="00A33AE8" w:rsidP="009E2C0C">
      <w:pPr>
        <w:jc w:val="both"/>
        <w:rPr>
          <w:color w:val="44546A" w:themeColor="text2"/>
        </w:rPr>
      </w:pPr>
      <w:r w:rsidRPr="008F0D85">
        <w:rPr>
          <w:color w:val="44546A" w:themeColor="text2"/>
        </w:rPr>
        <w:t xml:space="preserve">Following the categorisation </w:t>
      </w:r>
      <w:r w:rsidRPr="00EF7FC4">
        <w:rPr>
          <w:color w:val="44546A" w:themeColor="text2"/>
        </w:rPr>
        <w:t xml:space="preserve">process, </w:t>
      </w:r>
      <w:r w:rsidR="00E42E82">
        <w:rPr>
          <w:color w:val="44546A" w:themeColor="text2"/>
        </w:rPr>
        <w:t xml:space="preserve">capex </w:t>
      </w:r>
      <w:r w:rsidRPr="00EF7FC4">
        <w:rPr>
          <w:color w:val="44546A" w:themeColor="text2"/>
        </w:rPr>
        <w:t xml:space="preserve">data </w:t>
      </w:r>
      <w:r w:rsidR="00643A6D" w:rsidRPr="00EF7FC4">
        <w:rPr>
          <w:color w:val="44546A" w:themeColor="text2"/>
        </w:rPr>
        <w:t>was populated labelling each expenditure into a specific category. To maintain</w:t>
      </w:r>
      <w:r w:rsidR="00643A6D" w:rsidRPr="008F0D85">
        <w:rPr>
          <w:color w:val="44546A" w:themeColor="text2"/>
        </w:rPr>
        <w:t xml:space="preserve"> data integrity, all industry-related expenditures were </w:t>
      </w:r>
      <w:r w:rsidR="006936E2" w:rsidRPr="008F0D85">
        <w:rPr>
          <w:color w:val="44546A" w:themeColor="text2"/>
        </w:rPr>
        <w:t>c</w:t>
      </w:r>
      <w:r w:rsidR="006936E2">
        <w:rPr>
          <w:color w:val="44546A" w:themeColor="text2"/>
        </w:rPr>
        <w:t>ombined</w:t>
      </w:r>
      <w:r w:rsidR="006936E2" w:rsidRPr="008F0D85">
        <w:rPr>
          <w:color w:val="44546A" w:themeColor="text2"/>
        </w:rPr>
        <w:t xml:space="preserve"> </w:t>
      </w:r>
      <w:r w:rsidR="00643A6D" w:rsidRPr="008F0D85">
        <w:rPr>
          <w:color w:val="44546A" w:themeColor="text2"/>
        </w:rPr>
        <w:t>and then adjusted through a pricing index, reconciling 202</w:t>
      </w:r>
      <w:r w:rsidR="00CB1A3E">
        <w:rPr>
          <w:color w:val="44546A" w:themeColor="text2"/>
        </w:rPr>
        <w:t>4</w:t>
      </w:r>
      <w:r w:rsidR="00643A6D" w:rsidRPr="008F0D85">
        <w:rPr>
          <w:color w:val="44546A" w:themeColor="text2"/>
        </w:rPr>
        <w:t xml:space="preserve"> values with those from 201</w:t>
      </w:r>
      <w:r w:rsidR="00CB1A3E">
        <w:rPr>
          <w:color w:val="44546A" w:themeColor="text2"/>
        </w:rPr>
        <w:t>9</w:t>
      </w:r>
      <w:r w:rsidR="00643A6D" w:rsidRPr="008F0D85">
        <w:rPr>
          <w:color w:val="44546A" w:themeColor="text2"/>
        </w:rPr>
        <w:t xml:space="preserve"> to match the emission factor's </w:t>
      </w:r>
      <w:r w:rsidR="00643A6D" w:rsidRPr="008F0D85">
        <w:rPr>
          <w:color w:val="44546A" w:themeColor="text2"/>
        </w:rPr>
        <w:lastRenderedPageBreak/>
        <w:t>baseline year.</w:t>
      </w:r>
      <w:r w:rsidR="000F6B7C" w:rsidRPr="008F0D85">
        <w:rPr>
          <w:color w:val="44546A" w:themeColor="text2"/>
        </w:rPr>
        <w:t xml:space="preserve"> It has been assumed that spend-based emissions factors from the </w:t>
      </w:r>
      <w:proofErr w:type="spellStart"/>
      <w:r w:rsidR="009F078B">
        <w:rPr>
          <w:color w:val="44546A" w:themeColor="text2"/>
        </w:rPr>
        <w:t>Exiobase</w:t>
      </w:r>
      <w:proofErr w:type="spellEnd"/>
      <w:r w:rsidR="00FF73DA">
        <w:rPr>
          <w:rStyle w:val="FootnoteReference"/>
          <w:color w:val="44546A" w:themeColor="text2"/>
        </w:rPr>
        <w:footnoteReference w:id="17"/>
      </w:r>
      <w:r w:rsidR="009F078B">
        <w:rPr>
          <w:color w:val="44546A" w:themeColor="text2"/>
        </w:rPr>
        <w:t xml:space="preserve"> database</w:t>
      </w:r>
      <w:r w:rsidR="000F6B7C" w:rsidRPr="008F0D85">
        <w:rPr>
          <w:color w:val="44546A" w:themeColor="text2"/>
        </w:rPr>
        <w:t xml:space="preserve"> are representative of the organisations, geographies and activities associated</w:t>
      </w:r>
      <w:r w:rsidR="005B6FB3" w:rsidRPr="008F0D85">
        <w:rPr>
          <w:color w:val="44546A" w:themeColor="text2"/>
        </w:rPr>
        <w:t>.</w:t>
      </w:r>
    </w:p>
    <w:p w14:paraId="0AECEE10" w14:textId="1DDE5D28" w:rsidR="003D3CB9" w:rsidRPr="008F0D85" w:rsidRDefault="003B2A40" w:rsidP="009E2C0C">
      <w:pPr>
        <w:jc w:val="both"/>
        <w:rPr>
          <w:color w:val="44546A" w:themeColor="text2"/>
        </w:rPr>
      </w:pPr>
      <w:r w:rsidRPr="003B2A40">
        <w:rPr>
          <w:color w:val="44546A" w:themeColor="text2"/>
        </w:rPr>
        <w:t xml:space="preserve">The comparative data from previous Scope 3 assessments (2022 and 2023) follows the same methodology applied in 2024 for calculating emissions based on </w:t>
      </w:r>
      <w:r w:rsidR="0081740D">
        <w:rPr>
          <w:color w:val="44546A" w:themeColor="text2"/>
        </w:rPr>
        <w:t>capex</w:t>
      </w:r>
      <w:r w:rsidRPr="003B2A40">
        <w:rPr>
          <w:color w:val="44546A" w:themeColor="text2"/>
        </w:rPr>
        <w:t xml:space="preserve"> spend. However, the emission factors used for 2022 and 2023 were sourced from Quantis Scope 3 Evaluator tool</w:t>
      </w:r>
      <w:r w:rsidR="00151C43">
        <w:rPr>
          <w:rStyle w:val="FootnoteReference"/>
          <w:color w:val="44546A" w:themeColor="text2"/>
        </w:rPr>
        <w:footnoteReference w:id="18"/>
      </w:r>
      <w:r w:rsidRPr="003B2A40">
        <w:rPr>
          <w:color w:val="44546A" w:themeColor="text2"/>
        </w:rPr>
        <w:t xml:space="preserve">, which was in use at the time but has since been discontinued. </w:t>
      </w:r>
      <w:r w:rsidR="00380B5B">
        <w:rPr>
          <w:color w:val="44546A" w:themeColor="text2"/>
        </w:rPr>
        <w:t>Similarly to Category One, t</w:t>
      </w:r>
      <w:r w:rsidR="00380B5B" w:rsidRPr="00064F47">
        <w:rPr>
          <w:color w:val="44546A" w:themeColor="text2"/>
        </w:rPr>
        <w:t>he emission factor</w:t>
      </w:r>
      <w:r w:rsidR="00380B5B">
        <w:rPr>
          <w:color w:val="44546A" w:themeColor="text2"/>
        </w:rPr>
        <w:t>s</w:t>
      </w:r>
      <w:r w:rsidR="00380B5B" w:rsidRPr="00064F47">
        <w:rPr>
          <w:color w:val="44546A" w:themeColor="text2"/>
        </w:rPr>
        <w:t xml:space="preserve"> used to calculate the 2022 and 2023 </w:t>
      </w:r>
      <w:r w:rsidR="00DF5CAE">
        <w:rPr>
          <w:color w:val="44546A" w:themeColor="text2"/>
        </w:rPr>
        <w:t xml:space="preserve">emissions from </w:t>
      </w:r>
      <w:r w:rsidR="00380B5B">
        <w:rPr>
          <w:color w:val="44546A" w:themeColor="text2"/>
        </w:rPr>
        <w:t>cap</w:t>
      </w:r>
      <w:r w:rsidR="00D62325">
        <w:rPr>
          <w:color w:val="44546A" w:themeColor="text2"/>
        </w:rPr>
        <w:t xml:space="preserve">ital </w:t>
      </w:r>
      <w:proofErr w:type="gramStart"/>
      <w:r w:rsidR="00D62325">
        <w:rPr>
          <w:color w:val="44546A" w:themeColor="text2"/>
        </w:rPr>
        <w:t xml:space="preserve">goods </w:t>
      </w:r>
      <w:r w:rsidR="00380B5B" w:rsidRPr="00064F47">
        <w:rPr>
          <w:color w:val="44546A" w:themeColor="text2"/>
        </w:rPr>
        <w:t xml:space="preserve"> were</w:t>
      </w:r>
      <w:proofErr w:type="gramEnd"/>
      <w:r w:rsidR="00380B5B" w:rsidRPr="00064F47">
        <w:rPr>
          <w:color w:val="44546A" w:themeColor="text2"/>
        </w:rPr>
        <w:t xml:space="preserve"> not updated, as any difference was deemed minimal and not expected to have a material impact.</w:t>
      </w:r>
    </w:p>
    <w:p w14:paraId="4B69E361" w14:textId="77777777" w:rsidR="001011F4" w:rsidRPr="008F0D85" w:rsidRDefault="001011F4" w:rsidP="00863925">
      <w:pPr>
        <w:pStyle w:val="Heading4"/>
      </w:pPr>
      <w:r w:rsidRPr="008F0D85">
        <w:t>Inclusion and exclusion</w:t>
      </w:r>
    </w:p>
    <w:p w14:paraId="03534A96" w14:textId="547B6F2C" w:rsidR="009D38BF" w:rsidRDefault="004C1954" w:rsidP="009D38BF">
      <w:pPr>
        <w:jc w:val="both"/>
        <w:rPr>
          <w:color w:val="44546A" w:themeColor="text2"/>
        </w:rPr>
      </w:pPr>
      <w:r>
        <w:rPr>
          <w:color w:val="44546A" w:themeColor="text2"/>
        </w:rPr>
        <w:t>The</w:t>
      </w:r>
      <w:r w:rsidR="009D38BF" w:rsidRPr="008F0D85" w:rsidDel="00EF7FC4">
        <w:rPr>
          <w:color w:val="44546A" w:themeColor="text2"/>
        </w:rPr>
        <w:t xml:space="preserve"> </w:t>
      </w:r>
      <w:r w:rsidR="0081740D">
        <w:rPr>
          <w:color w:val="44546A" w:themeColor="text2"/>
        </w:rPr>
        <w:t>capex</w:t>
      </w:r>
      <w:r w:rsidR="0081740D" w:rsidRPr="008F0D85">
        <w:rPr>
          <w:color w:val="44546A" w:themeColor="text2"/>
        </w:rPr>
        <w:t xml:space="preserve"> </w:t>
      </w:r>
      <w:r w:rsidR="009D38BF" w:rsidRPr="008F0D85">
        <w:rPr>
          <w:color w:val="44546A" w:themeColor="text2"/>
        </w:rPr>
        <w:t xml:space="preserve">spend data from CAML’s accounting software is accurate, with analysis encompassing 98-100% of expenditures per operation. </w:t>
      </w:r>
    </w:p>
    <w:p w14:paraId="4422946D" w14:textId="580B17CD" w:rsidR="004267AE" w:rsidRPr="004267AE" w:rsidRDefault="004267AE" w:rsidP="004267AE">
      <w:pPr>
        <w:jc w:val="both"/>
        <w:rPr>
          <w:color w:val="44546A" w:themeColor="text2"/>
        </w:rPr>
      </w:pPr>
      <w:r w:rsidRPr="004267AE">
        <w:rPr>
          <w:color w:val="44546A" w:themeColor="text2"/>
        </w:rPr>
        <w:t>This category captures capital goods-related emissions associated with CAML’s two primary subsidiaries and operational sites</w:t>
      </w:r>
      <w:r w:rsidR="003D2A17">
        <w:rPr>
          <w:color w:val="44546A" w:themeColor="text2"/>
        </w:rPr>
        <w:t xml:space="preserve">: </w:t>
      </w:r>
      <w:r w:rsidRPr="004267AE">
        <w:rPr>
          <w:color w:val="44546A" w:themeColor="text2"/>
        </w:rPr>
        <w:t>Kounrad and Sasa.</w:t>
      </w:r>
    </w:p>
    <w:p w14:paraId="7DA4FA07" w14:textId="77777777" w:rsidR="004267AE" w:rsidRPr="004267AE" w:rsidRDefault="004267AE" w:rsidP="004267AE">
      <w:pPr>
        <w:jc w:val="both"/>
        <w:rPr>
          <w:color w:val="44546A" w:themeColor="text2"/>
        </w:rPr>
      </w:pPr>
      <w:r w:rsidRPr="004267AE">
        <w:rPr>
          <w:color w:val="44546A" w:themeColor="text2"/>
        </w:rPr>
        <w:t>The following entities have been excluded from the Scope 3 Category 2 assessment, based on considerations of capital expenditure relevance, operational control, and materiality:</w:t>
      </w:r>
    </w:p>
    <w:p w14:paraId="7B684BCC" w14:textId="77777777" w:rsidR="004267AE" w:rsidRPr="00863925" w:rsidRDefault="004267AE" w:rsidP="00863925">
      <w:pPr>
        <w:pStyle w:val="ListParagraph"/>
        <w:numPr>
          <w:ilvl w:val="0"/>
          <w:numId w:val="17"/>
        </w:numPr>
        <w:jc w:val="both"/>
        <w:rPr>
          <w:color w:val="44546A" w:themeColor="text2"/>
        </w:rPr>
      </w:pPr>
      <w:r w:rsidRPr="00863925">
        <w:rPr>
          <w:color w:val="44546A" w:themeColor="text2"/>
        </w:rPr>
        <w:t>CAML PLC (Head Office): Capital expenditures from the Head Office were excluded due to their minimal contribution to overall capital investments and limited impact on total emissions in this category.</w:t>
      </w:r>
    </w:p>
    <w:p w14:paraId="7CD5C656" w14:textId="45FCC27C" w:rsidR="004267AE" w:rsidRPr="00863925" w:rsidRDefault="004267AE" w:rsidP="00863925">
      <w:pPr>
        <w:pStyle w:val="ListParagraph"/>
        <w:numPr>
          <w:ilvl w:val="0"/>
          <w:numId w:val="17"/>
        </w:numPr>
        <w:jc w:val="both"/>
        <w:rPr>
          <w:color w:val="44546A" w:themeColor="text2"/>
        </w:rPr>
      </w:pPr>
      <w:r w:rsidRPr="00863925">
        <w:rPr>
          <w:color w:val="44546A" w:themeColor="text2"/>
        </w:rPr>
        <w:t>CAML Exploration (CAML X): An 80%-owned subsidiary established in 2024 for early-stage base metal exploration in Kazakhstan. Given its limited capital activity to date, CAML X has been excluded due to immateriality.</w:t>
      </w:r>
    </w:p>
    <w:p w14:paraId="6CD38E42" w14:textId="74FBDEBC" w:rsidR="000D046F" w:rsidRPr="00863925" w:rsidRDefault="004267AE" w:rsidP="00863925">
      <w:pPr>
        <w:pStyle w:val="ListParagraph"/>
        <w:numPr>
          <w:ilvl w:val="0"/>
          <w:numId w:val="17"/>
        </w:numPr>
        <w:jc w:val="both"/>
        <w:rPr>
          <w:color w:val="44546A" w:themeColor="text2"/>
        </w:rPr>
      </w:pPr>
      <w:r w:rsidRPr="00863925">
        <w:rPr>
          <w:color w:val="44546A" w:themeColor="text2"/>
        </w:rPr>
        <w:t>Aberdeen Minerals (‘Aberdeen’): An associate in which CAML holds a 28.4% interest. As CAML does not have operational control and Aberdeen 's capital investment activities are not considered material, it has been excluded in accordance with the control boundary approach</w:t>
      </w:r>
      <w:r>
        <w:rPr>
          <w:color w:val="44546A" w:themeColor="text2"/>
        </w:rPr>
        <w:t>.</w:t>
      </w:r>
    </w:p>
    <w:p w14:paraId="622FAAC1" w14:textId="3CC45237" w:rsidR="005A2C3B" w:rsidRPr="008F0D85" w:rsidRDefault="00492CE0" w:rsidP="005A2C3B">
      <w:pPr>
        <w:rPr>
          <w:color w:val="44546A" w:themeColor="text2"/>
        </w:rPr>
      </w:pPr>
      <w:r>
        <w:rPr>
          <w:color w:val="44546A" w:themeColor="text2"/>
        </w:rPr>
        <w:t>T</w:t>
      </w:r>
      <w:r w:rsidRPr="00CD5016">
        <w:rPr>
          <w:color w:val="44546A" w:themeColor="text2"/>
        </w:rPr>
        <w:t>he Quantis Scope 3 Evaluator tool is no longer supported</w:t>
      </w:r>
      <w:r>
        <w:rPr>
          <w:color w:val="44546A" w:themeColor="text2"/>
        </w:rPr>
        <w:t xml:space="preserve"> and the WRI Scope 3 evaluator tool has been discontinued</w:t>
      </w:r>
      <w:r w:rsidRPr="00CD5016">
        <w:rPr>
          <w:color w:val="44546A" w:themeColor="text2"/>
        </w:rPr>
        <w:t xml:space="preserve">, prompting a transition to </w:t>
      </w:r>
      <w:proofErr w:type="spellStart"/>
      <w:r w:rsidRPr="00CD5016">
        <w:rPr>
          <w:color w:val="44546A" w:themeColor="text2"/>
        </w:rPr>
        <w:t>Exiobase</w:t>
      </w:r>
      <w:proofErr w:type="spellEnd"/>
      <w:r w:rsidRPr="00CD5016">
        <w:rPr>
          <w:color w:val="44546A" w:themeColor="text2"/>
        </w:rPr>
        <w:t xml:space="preserve"> for </w:t>
      </w:r>
      <w:r>
        <w:rPr>
          <w:color w:val="44546A" w:themeColor="text2"/>
        </w:rPr>
        <w:t>2024</w:t>
      </w:r>
      <w:r w:rsidRPr="00CD5016">
        <w:rPr>
          <w:color w:val="44546A" w:themeColor="text2"/>
        </w:rPr>
        <w:t xml:space="preserve"> year’s emissions disclosure. </w:t>
      </w:r>
      <w:proofErr w:type="spellStart"/>
      <w:r w:rsidRPr="00CD5016">
        <w:rPr>
          <w:color w:val="44546A" w:themeColor="text2"/>
        </w:rPr>
        <w:t>Exiobase</w:t>
      </w:r>
      <w:proofErr w:type="spellEnd"/>
      <w:r w:rsidRPr="00CD5016">
        <w:rPr>
          <w:color w:val="44546A" w:themeColor="text2"/>
        </w:rPr>
        <w:t xml:space="preserve"> was chosen for its broad geographic coverage and detailed industry data, making it well-suited for spend-based emission factor estimates</w:t>
      </w:r>
      <w:r w:rsidR="005A2C3B">
        <w:rPr>
          <w:color w:val="44546A" w:themeColor="text2"/>
        </w:rPr>
        <w:t>.</w:t>
      </w:r>
    </w:p>
    <w:p w14:paraId="30712116" w14:textId="62272D8E" w:rsidR="009E2C0C" w:rsidRDefault="009E2C0C">
      <w:r>
        <w:br w:type="page"/>
      </w:r>
    </w:p>
    <w:p w14:paraId="140B9D58" w14:textId="77777777" w:rsidR="005D5E3A" w:rsidRDefault="005D5E3A" w:rsidP="00E325F9">
      <w:pPr>
        <w:jc w:val="both"/>
        <w:sectPr w:rsidR="005D5E3A" w:rsidSect="00BE63C3">
          <w:footnotePr>
            <w:numRestart w:val="eachPage"/>
          </w:footnotePr>
          <w:pgSz w:w="11906" w:h="16838"/>
          <w:pgMar w:top="1440" w:right="1440" w:bottom="1440" w:left="1440" w:header="708" w:footer="708" w:gutter="0"/>
          <w:pgNumType w:start="1"/>
          <w:cols w:space="708"/>
          <w:titlePg/>
          <w:docGrid w:linePitch="360"/>
        </w:sectPr>
      </w:pPr>
    </w:p>
    <w:p w14:paraId="4116FF9C" w14:textId="1833B1DE" w:rsidR="00E75FC4" w:rsidRDefault="00E75FC4" w:rsidP="009E2C0C">
      <w:pPr>
        <w:pStyle w:val="Heading3"/>
      </w:pPr>
      <w:bookmarkStart w:id="17" w:name="_Toc194670372"/>
      <w:r w:rsidRPr="008F0D85">
        <w:lastRenderedPageBreak/>
        <w:t>Category 3 – Fuel and energy related activities</w:t>
      </w:r>
      <w:bookmarkEnd w:id="17"/>
    </w:p>
    <w:tbl>
      <w:tblPr>
        <w:tblStyle w:val="GridTable5Dark-Accent2"/>
        <w:tblpPr w:leftFromText="180" w:rightFromText="180" w:vertAnchor="page" w:horzAnchor="margin" w:tblpY="1906"/>
        <w:tblW w:w="9067" w:type="dxa"/>
        <w:tblLook w:val="04A0" w:firstRow="1" w:lastRow="0" w:firstColumn="1" w:lastColumn="0" w:noHBand="0" w:noVBand="1"/>
      </w:tblPr>
      <w:tblGrid>
        <w:gridCol w:w="2689"/>
        <w:gridCol w:w="6378"/>
      </w:tblGrid>
      <w:tr w:rsidR="001832BB" w:rsidRPr="00B43CF5" w14:paraId="09710533" w14:textId="77777777" w:rsidTr="00801D97">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3E5C60"/>
          </w:tcPr>
          <w:p w14:paraId="42246630" w14:textId="267339EC" w:rsidR="001832BB" w:rsidRPr="00B43CF5" w:rsidRDefault="001832BB" w:rsidP="00801D97">
            <w:pPr>
              <w:jc w:val="both"/>
            </w:pPr>
            <w:r w:rsidRPr="00B43CF5">
              <w:br w:type="page"/>
              <w:t xml:space="preserve">Category </w:t>
            </w:r>
            <w:r>
              <w:t>3</w:t>
            </w:r>
            <w:r w:rsidRPr="00B43CF5">
              <w:t xml:space="preserve"> </w:t>
            </w:r>
          </w:p>
        </w:tc>
      </w:tr>
      <w:tr w:rsidR="001832BB" w:rsidRPr="00B43CF5" w14:paraId="5AD40BC5" w14:textId="77777777" w:rsidTr="00801D9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89" w:type="dxa"/>
            <w:shd w:val="clear" w:color="auto" w:fill="3E5C60"/>
          </w:tcPr>
          <w:p w14:paraId="4FE12D20" w14:textId="77777777" w:rsidR="001832BB" w:rsidRPr="00B43CF5" w:rsidRDefault="001832BB" w:rsidP="00801D97">
            <w:r w:rsidRPr="00B43CF5">
              <w:t>Description</w:t>
            </w:r>
          </w:p>
        </w:tc>
        <w:tc>
          <w:tcPr>
            <w:tcW w:w="6378" w:type="dxa"/>
            <w:shd w:val="clear" w:color="auto" w:fill="C3D5D7"/>
          </w:tcPr>
          <w:p w14:paraId="0C8CF5ED" w14:textId="53A4742A" w:rsidR="001832BB" w:rsidRPr="009E2C0C" w:rsidRDefault="001832BB" w:rsidP="00801D97">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0B4104">
              <w:rPr>
                <w:color w:val="44546A" w:themeColor="text2"/>
              </w:rPr>
              <w:t>All emissions related to the production of fuels and energy purchased and consumed by CAML in the reporting year, not already included in Scope 1 or Scope 2. This is the upstream emissions from looking at cradle to gate in terms of transportation, creation and extraction of fuels consumed and transmission &amp; distribution (T&amp;D) losses. This includes diesel, gasoline, propane, explosives and electricity across our operations</w:t>
            </w:r>
            <w:r>
              <w:rPr>
                <w:color w:val="44546A" w:themeColor="text2"/>
              </w:rPr>
              <w:t>.</w:t>
            </w:r>
          </w:p>
          <w:p w14:paraId="16C33BA6" w14:textId="77777777" w:rsidR="001832BB" w:rsidRPr="009E2C0C" w:rsidRDefault="001832BB" w:rsidP="00801D97">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1832BB" w:rsidRPr="00B43CF5" w14:paraId="2CEE0043" w14:textId="77777777" w:rsidTr="00801D97">
        <w:trPr>
          <w:trHeight w:val="249"/>
        </w:trPr>
        <w:tc>
          <w:tcPr>
            <w:cnfStyle w:val="001000000000" w:firstRow="0" w:lastRow="0" w:firstColumn="1" w:lastColumn="0" w:oddVBand="0" w:evenVBand="0" w:oddHBand="0" w:evenHBand="0" w:firstRowFirstColumn="0" w:firstRowLastColumn="0" w:lastRowFirstColumn="0" w:lastRowLastColumn="0"/>
            <w:tcW w:w="2689" w:type="dxa"/>
            <w:shd w:val="clear" w:color="auto" w:fill="3E5C60"/>
          </w:tcPr>
          <w:p w14:paraId="13D474D0" w14:textId="77777777" w:rsidR="001832BB" w:rsidRPr="000B4104" w:rsidRDefault="001832BB" w:rsidP="00801D97">
            <w:r w:rsidRPr="000B4104">
              <w:t>Emissions (</w:t>
            </w:r>
            <w:r w:rsidRPr="000B4104">
              <w:rPr>
                <w:rFonts w:eastAsia="Times New Roman"/>
              </w:rPr>
              <w:t>tCO</w:t>
            </w:r>
            <w:r w:rsidRPr="000B4104">
              <w:rPr>
                <w:rFonts w:eastAsia="Times New Roman"/>
                <w:vertAlign w:val="subscript"/>
              </w:rPr>
              <w:t>2</w:t>
            </w:r>
            <w:r w:rsidRPr="000B4104">
              <w:rPr>
                <w:rFonts w:eastAsia="Times New Roman"/>
              </w:rPr>
              <w:t>e)</w:t>
            </w:r>
          </w:p>
        </w:tc>
        <w:tc>
          <w:tcPr>
            <w:tcW w:w="6378" w:type="dxa"/>
            <w:shd w:val="clear" w:color="auto" w:fill="E1EAEB"/>
          </w:tcPr>
          <w:p w14:paraId="0C4589F5" w14:textId="77777777" w:rsidR="001832BB" w:rsidRPr="000B4104" w:rsidRDefault="001832BB" w:rsidP="001832BB">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0B4104">
              <w:rPr>
                <w:color w:val="44546A" w:themeColor="text2"/>
              </w:rPr>
              <w:t>5,976 (202</w:t>
            </w:r>
            <w:r w:rsidRPr="00F60642">
              <w:rPr>
                <w:color w:val="44546A" w:themeColor="text2"/>
              </w:rPr>
              <w:t>3</w:t>
            </w:r>
            <w:r w:rsidRPr="000B4104">
              <w:rPr>
                <w:color w:val="44546A" w:themeColor="text2"/>
              </w:rPr>
              <w:t>: 6,382)</w:t>
            </w:r>
          </w:p>
          <w:p w14:paraId="751B21D6" w14:textId="77777777" w:rsidR="001832BB" w:rsidRPr="000B4104" w:rsidRDefault="001832BB" w:rsidP="00801D97">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1832BB" w:rsidRPr="00B43CF5" w14:paraId="0E194C27" w14:textId="77777777" w:rsidTr="00801D9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689" w:type="dxa"/>
            <w:shd w:val="clear" w:color="auto" w:fill="3E5C60"/>
          </w:tcPr>
          <w:p w14:paraId="418CC502" w14:textId="77777777" w:rsidR="001832BB" w:rsidRPr="00B43CF5" w:rsidRDefault="001832BB" w:rsidP="00801D97">
            <w:r w:rsidRPr="00B43CF5">
              <w:t>Calculation</w:t>
            </w:r>
            <w:r>
              <w:t xml:space="preserve"> method</w:t>
            </w:r>
          </w:p>
        </w:tc>
        <w:tc>
          <w:tcPr>
            <w:tcW w:w="6378" w:type="dxa"/>
            <w:shd w:val="clear" w:color="auto" w:fill="C3D5D7"/>
          </w:tcPr>
          <w:p w14:paraId="506EC02F" w14:textId="4857223E" w:rsidR="001832BB" w:rsidRPr="009E2C0C" w:rsidRDefault="001832BB" w:rsidP="00801D97">
            <w:pPr>
              <w:jc w:val="both"/>
              <w:cnfStyle w:val="000000100000" w:firstRow="0" w:lastRow="0" w:firstColumn="0" w:lastColumn="0" w:oddVBand="0" w:evenVBand="0" w:oddHBand="1" w:evenHBand="0" w:firstRowFirstColumn="0" w:firstRowLastColumn="0" w:lastRowFirstColumn="0" w:lastRowLastColumn="0"/>
              <w:rPr>
                <w:color w:val="44546A" w:themeColor="text2"/>
              </w:rPr>
            </w:pPr>
            <w:r>
              <w:rPr>
                <w:color w:val="44546A" w:themeColor="text2"/>
              </w:rPr>
              <w:t>A</w:t>
            </w:r>
            <w:r w:rsidRPr="009E2C0C">
              <w:rPr>
                <w:color w:val="44546A" w:themeColor="text2"/>
              </w:rPr>
              <w:t>verage</w:t>
            </w:r>
            <w:r>
              <w:rPr>
                <w:color w:val="44546A" w:themeColor="text2"/>
              </w:rPr>
              <w:t>-</w:t>
            </w:r>
            <w:r w:rsidRPr="009E2C0C">
              <w:rPr>
                <w:color w:val="44546A" w:themeColor="text2"/>
              </w:rPr>
              <w:t>data method</w:t>
            </w:r>
          </w:p>
          <w:p w14:paraId="43CF987A" w14:textId="77777777" w:rsidR="001832BB" w:rsidRPr="009E2C0C" w:rsidRDefault="001832BB" w:rsidP="00801D97">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1832BB" w:rsidRPr="00B43CF5" w14:paraId="3075D6E9" w14:textId="77777777" w:rsidTr="00801D97">
        <w:trPr>
          <w:trHeight w:val="249"/>
        </w:trPr>
        <w:tc>
          <w:tcPr>
            <w:cnfStyle w:val="001000000000" w:firstRow="0" w:lastRow="0" w:firstColumn="1" w:lastColumn="0" w:oddVBand="0" w:evenVBand="0" w:oddHBand="0" w:evenHBand="0" w:firstRowFirstColumn="0" w:firstRowLastColumn="0" w:lastRowFirstColumn="0" w:lastRowLastColumn="0"/>
            <w:tcW w:w="2689" w:type="dxa"/>
            <w:shd w:val="clear" w:color="auto" w:fill="3E5C60"/>
          </w:tcPr>
          <w:p w14:paraId="7B8B20BF" w14:textId="77777777" w:rsidR="001832BB" w:rsidRPr="00B43CF5" w:rsidRDefault="001832BB" w:rsidP="00801D97">
            <w:r w:rsidRPr="00B43CF5">
              <w:t>Activity data source</w:t>
            </w:r>
          </w:p>
        </w:tc>
        <w:tc>
          <w:tcPr>
            <w:tcW w:w="6378" w:type="dxa"/>
            <w:shd w:val="clear" w:color="auto" w:fill="E1EAEB"/>
          </w:tcPr>
          <w:p w14:paraId="23744283" w14:textId="3D18F56B" w:rsidR="001832BB" w:rsidRPr="009E2C0C" w:rsidRDefault="001832BB" w:rsidP="00801D97">
            <w:pPr>
              <w:jc w:val="both"/>
              <w:cnfStyle w:val="000000000000" w:firstRow="0" w:lastRow="0" w:firstColumn="0" w:lastColumn="0" w:oddVBand="0" w:evenVBand="0" w:oddHBand="0" w:evenHBand="0" w:firstRowFirstColumn="0" w:firstRowLastColumn="0" w:lastRowFirstColumn="0" w:lastRowLastColumn="0"/>
              <w:rPr>
                <w:color w:val="44546A" w:themeColor="text2"/>
                <w:lang w:val="en-CA"/>
              </w:rPr>
            </w:pPr>
            <w:r w:rsidRPr="001832BB">
              <w:rPr>
                <w:color w:val="44546A" w:themeColor="text2"/>
                <w:lang w:val="en-CA"/>
              </w:rPr>
              <w:t>Meter readings and consumption data of all energy and fuel related data from the environmental team.</w:t>
            </w:r>
          </w:p>
          <w:p w14:paraId="3E2870A2" w14:textId="77777777" w:rsidR="001832BB" w:rsidRPr="009E2C0C" w:rsidRDefault="001832BB" w:rsidP="00801D97">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1832BB" w:rsidRPr="00B43CF5" w14:paraId="4440B9D4" w14:textId="77777777" w:rsidTr="00801D9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689" w:type="dxa"/>
            <w:shd w:val="clear" w:color="auto" w:fill="3E5C60"/>
          </w:tcPr>
          <w:p w14:paraId="33C27D3D" w14:textId="77777777" w:rsidR="001832BB" w:rsidRPr="00B43CF5" w:rsidRDefault="001832BB" w:rsidP="00801D97">
            <w:r w:rsidRPr="00B43CF5">
              <w:t>Emissions data source</w:t>
            </w:r>
          </w:p>
        </w:tc>
        <w:tc>
          <w:tcPr>
            <w:tcW w:w="6378" w:type="dxa"/>
            <w:shd w:val="clear" w:color="auto" w:fill="C3D5D7"/>
          </w:tcPr>
          <w:p w14:paraId="474B69C5" w14:textId="77777777" w:rsidR="001832BB" w:rsidRPr="009E2C0C" w:rsidRDefault="001832BB" w:rsidP="00801D97">
            <w:pPr>
              <w:jc w:val="both"/>
              <w:cnfStyle w:val="000000100000" w:firstRow="0" w:lastRow="0" w:firstColumn="0" w:lastColumn="0" w:oddVBand="0" w:evenVBand="0" w:oddHBand="1" w:evenHBand="0" w:firstRowFirstColumn="0" w:firstRowLastColumn="0" w:lastRowFirstColumn="0" w:lastRowLastColumn="0"/>
              <w:rPr>
                <w:color w:val="44546A" w:themeColor="text2"/>
              </w:rPr>
            </w:pPr>
            <w:proofErr w:type="spellStart"/>
            <w:r>
              <w:rPr>
                <w:color w:val="44546A" w:themeColor="text2"/>
              </w:rPr>
              <w:t>Exiobase</w:t>
            </w:r>
            <w:proofErr w:type="spellEnd"/>
            <w:r w:rsidRPr="009E2C0C" w:rsidDel="00A01D49">
              <w:rPr>
                <w:color w:val="44546A" w:themeColor="text2"/>
              </w:rPr>
              <w:t xml:space="preserve"> </w:t>
            </w:r>
            <w:r>
              <w:rPr>
                <w:color w:val="44546A" w:themeColor="text2"/>
              </w:rPr>
              <w:t>database</w:t>
            </w:r>
            <w:r w:rsidRPr="009E2C0C">
              <w:rPr>
                <w:rStyle w:val="FootnoteReference"/>
                <w:color w:val="44546A" w:themeColor="text2"/>
              </w:rPr>
              <w:footnoteReference w:id="19"/>
            </w:r>
            <w:r w:rsidRPr="009E2C0C">
              <w:rPr>
                <w:color w:val="44546A" w:themeColor="text2"/>
              </w:rPr>
              <w:t xml:space="preserve"> and the World Input – Output Database GHG evaluator</w:t>
            </w:r>
            <w:r w:rsidRPr="009E2C0C">
              <w:rPr>
                <w:rStyle w:val="FootnoteReference"/>
                <w:color w:val="44546A" w:themeColor="text2"/>
              </w:rPr>
              <w:footnoteReference w:id="20"/>
            </w:r>
            <w:r>
              <w:rPr>
                <w:color w:val="44546A" w:themeColor="text2"/>
              </w:rPr>
              <w:t>.</w:t>
            </w:r>
            <w:r w:rsidRPr="009E2C0C">
              <w:rPr>
                <w:color w:val="44546A" w:themeColor="text2"/>
              </w:rPr>
              <w:t xml:space="preserve"> </w:t>
            </w:r>
          </w:p>
          <w:p w14:paraId="332597E3" w14:textId="77777777" w:rsidR="001832BB" w:rsidRPr="009E2C0C" w:rsidRDefault="001832BB" w:rsidP="00801D97">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bl>
    <w:p w14:paraId="0A0F1B12" w14:textId="77777777" w:rsidR="001832BB" w:rsidRPr="001832BB" w:rsidRDefault="001832BB" w:rsidP="002C3D3F"/>
    <w:p w14:paraId="37394196" w14:textId="380597F4" w:rsidR="00623A5D" w:rsidRPr="008F0D85" w:rsidRDefault="00623A5D" w:rsidP="009E2C0C">
      <w:pPr>
        <w:pStyle w:val="Heading4"/>
      </w:pPr>
      <w:r w:rsidRPr="008F0D85">
        <w:t>Boundaries</w:t>
      </w:r>
    </w:p>
    <w:p w14:paraId="373A342B" w14:textId="553BD8DB" w:rsidR="00203133" w:rsidRPr="008F0D85" w:rsidRDefault="008D6130" w:rsidP="009E2C0C">
      <w:pPr>
        <w:jc w:val="both"/>
        <w:rPr>
          <w:color w:val="44546A" w:themeColor="text2"/>
        </w:rPr>
      </w:pPr>
      <w:r w:rsidRPr="008F0D85">
        <w:rPr>
          <w:color w:val="44546A" w:themeColor="text2"/>
        </w:rPr>
        <w:t xml:space="preserve">This category encompasses emissions from the extraction, production, and transportation of fuels and energy used by facilities under CAML’s operational control. It includes upstream emissions related to fuels </w:t>
      </w:r>
      <w:r w:rsidR="00D123AB" w:rsidRPr="008F0D85">
        <w:rPr>
          <w:color w:val="44546A" w:themeColor="text2"/>
        </w:rPr>
        <w:t>procured</w:t>
      </w:r>
      <w:r w:rsidRPr="008F0D85">
        <w:rPr>
          <w:color w:val="44546A" w:themeColor="text2"/>
        </w:rPr>
        <w:t xml:space="preserve"> (e.g., diesel or natural gas) for on-site operations and emissions from the extraction, production, and transportation of fuel (e.g., coal or natural gas) burned for purchased electricity. Notably, emissions from fuel combustion at our facilities are categori</w:t>
      </w:r>
      <w:r w:rsidR="00A203E0">
        <w:rPr>
          <w:color w:val="44546A" w:themeColor="text2"/>
        </w:rPr>
        <w:t>s</w:t>
      </w:r>
      <w:r w:rsidRPr="008F0D85">
        <w:rPr>
          <w:color w:val="44546A" w:themeColor="text2"/>
        </w:rPr>
        <w:t>ed as scope 1 emissions, while emissions from purchased electricity generation are considered scope 2 emissions.</w:t>
      </w:r>
    </w:p>
    <w:p w14:paraId="7E84694A" w14:textId="2DF5FA48" w:rsidR="00566EBD" w:rsidRPr="008F0D85" w:rsidRDefault="00566EBD" w:rsidP="009E2C0C">
      <w:pPr>
        <w:pStyle w:val="Heading4"/>
      </w:pPr>
      <w:r w:rsidRPr="008F0D85">
        <w:t>Calculation method</w:t>
      </w:r>
    </w:p>
    <w:p w14:paraId="63B31591" w14:textId="1E7E3BF7" w:rsidR="006D3AC6" w:rsidRPr="008F0D85" w:rsidRDefault="006D3AC6" w:rsidP="006E4E83">
      <w:pPr>
        <w:jc w:val="both"/>
        <w:rPr>
          <w:color w:val="44546A" w:themeColor="text2"/>
        </w:rPr>
      </w:pPr>
      <w:r w:rsidRPr="008F0D85">
        <w:rPr>
          <w:color w:val="44546A" w:themeColor="text2"/>
        </w:rPr>
        <w:t>The v</w:t>
      </w:r>
      <w:r w:rsidR="00566EBD" w:rsidRPr="008F0D85">
        <w:rPr>
          <w:color w:val="44546A" w:themeColor="text2"/>
        </w:rPr>
        <w:t>olumes of</w:t>
      </w:r>
      <w:r w:rsidRPr="008F0D85">
        <w:rPr>
          <w:color w:val="44546A" w:themeColor="text2"/>
        </w:rPr>
        <w:t xml:space="preserve"> our energy sources were calculated from various </w:t>
      </w:r>
      <w:r w:rsidR="002C7286">
        <w:rPr>
          <w:color w:val="44546A" w:themeColor="text2"/>
        </w:rPr>
        <w:t>sources</w:t>
      </w:r>
      <w:r w:rsidR="001A3FBC">
        <w:rPr>
          <w:color w:val="44546A" w:themeColor="text2"/>
        </w:rPr>
        <w:t>:</w:t>
      </w:r>
    </w:p>
    <w:p w14:paraId="7524DF21" w14:textId="2303B6D1" w:rsidR="00C53541" w:rsidRPr="008F0D85" w:rsidRDefault="006D3AC6" w:rsidP="008F0D85">
      <w:pPr>
        <w:pStyle w:val="ListParagraph"/>
        <w:numPr>
          <w:ilvl w:val="0"/>
          <w:numId w:val="12"/>
        </w:numPr>
        <w:jc w:val="both"/>
        <w:rPr>
          <w:color w:val="44546A" w:themeColor="text2"/>
        </w:rPr>
      </w:pPr>
      <w:r w:rsidRPr="008F0D85">
        <w:rPr>
          <w:color w:val="44546A" w:themeColor="text2"/>
        </w:rPr>
        <w:t xml:space="preserve">Litres of </w:t>
      </w:r>
      <w:r w:rsidR="00D264F7" w:rsidRPr="008F0D85">
        <w:rPr>
          <w:color w:val="44546A" w:themeColor="text2"/>
        </w:rPr>
        <w:t xml:space="preserve">diesel </w:t>
      </w:r>
      <w:r w:rsidRPr="008F0D85">
        <w:rPr>
          <w:color w:val="44546A" w:themeColor="text2"/>
        </w:rPr>
        <w:t xml:space="preserve">and the gasoline </w:t>
      </w:r>
      <w:r w:rsidR="00D1295F" w:rsidRPr="008F0D85">
        <w:rPr>
          <w:color w:val="44546A" w:themeColor="text2"/>
        </w:rPr>
        <w:t xml:space="preserve">from </w:t>
      </w:r>
      <w:r w:rsidR="00AC055E" w:rsidRPr="008F0D85">
        <w:rPr>
          <w:color w:val="44546A" w:themeColor="text2"/>
        </w:rPr>
        <w:t>fuel meter</w:t>
      </w:r>
      <w:r w:rsidR="00C53541" w:rsidRPr="008F0D85">
        <w:rPr>
          <w:color w:val="44546A" w:themeColor="text2"/>
        </w:rPr>
        <w:t xml:space="preserve">s </w:t>
      </w:r>
      <w:r w:rsidR="007B5407" w:rsidRPr="008F0D85">
        <w:rPr>
          <w:color w:val="44546A" w:themeColor="text2"/>
        </w:rPr>
        <w:t xml:space="preserve">readings </w:t>
      </w:r>
      <w:r w:rsidR="00F904C9" w:rsidRPr="008F0D85">
        <w:rPr>
          <w:color w:val="44546A" w:themeColor="text2"/>
        </w:rPr>
        <w:t xml:space="preserve">from our fuel </w:t>
      </w:r>
      <w:r w:rsidR="00237111" w:rsidRPr="008F0D85">
        <w:rPr>
          <w:color w:val="44546A" w:themeColor="text2"/>
        </w:rPr>
        <w:t>stations.</w:t>
      </w:r>
    </w:p>
    <w:p w14:paraId="5957B8B2" w14:textId="290511A0" w:rsidR="00F904C9" w:rsidRPr="008F0D85" w:rsidRDefault="00237111" w:rsidP="008F0D85">
      <w:pPr>
        <w:pStyle w:val="ListParagraph"/>
        <w:numPr>
          <w:ilvl w:val="0"/>
          <w:numId w:val="12"/>
        </w:numPr>
        <w:jc w:val="both"/>
        <w:rPr>
          <w:color w:val="44546A" w:themeColor="text2"/>
        </w:rPr>
      </w:pPr>
      <w:r w:rsidRPr="008F0D85">
        <w:rPr>
          <w:color w:val="44546A" w:themeColor="text2"/>
        </w:rPr>
        <w:t>kWh of electricity</w:t>
      </w:r>
      <w:r w:rsidR="007B5407" w:rsidRPr="008F0D85">
        <w:rPr>
          <w:color w:val="44546A" w:themeColor="text2"/>
        </w:rPr>
        <w:t xml:space="preserve"> </w:t>
      </w:r>
      <w:r w:rsidR="00D1295F" w:rsidRPr="008F0D85">
        <w:rPr>
          <w:color w:val="44546A" w:themeColor="text2"/>
        </w:rPr>
        <w:t xml:space="preserve">from </w:t>
      </w:r>
      <w:r w:rsidR="007B5407" w:rsidRPr="008F0D85">
        <w:rPr>
          <w:color w:val="44546A" w:themeColor="text2"/>
        </w:rPr>
        <w:t>meter readings across the sites</w:t>
      </w:r>
      <w:r w:rsidR="00D1295F" w:rsidRPr="008F0D85">
        <w:rPr>
          <w:color w:val="44546A" w:themeColor="text2"/>
        </w:rPr>
        <w:t>.</w:t>
      </w:r>
    </w:p>
    <w:p w14:paraId="064EED53" w14:textId="641A262A" w:rsidR="00855838" w:rsidRPr="008F0D85" w:rsidRDefault="00237111" w:rsidP="00855838">
      <w:pPr>
        <w:pStyle w:val="ListParagraph"/>
        <w:numPr>
          <w:ilvl w:val="0"/>
          <w:numId w:val="12"/>
        </w:numPr>
        <w:jc w:val="both"/>
        <w:rPr>
          <w:color w:val="44546A" w:themeColor="text2"/>
        </w:rPr>
      </w:pPr>
      <w:r w:rsidRPr="008F0D85">
        <w:rPr>
          <w:color w:val="44546A" w:themeColor="text2"/>
        </w:rPr>
        <w:t xml:space="preserve">Tonnes of explosives from </w:t>
      </w:r>
      <w:r w:rsidR="00855838" w:rsidRPr="008F0D85">
        <w:rPr>
          <w:color w:val="44546A" w:themeColor="text2"/>
        </w:rPr>
        <w:t>purchase invoices</w:t>
      </w:r>
      <w:r w:rsidR="00D1295F" w:rsidRPr="008F0D85">
        <w:rPr>
          <w:color w:val="44546A" w:themeColor="text2"/>
        </w:rPr>
        <w:t>.</w:t>
      </w:r>
    </w:p>
    <w:p w14:paraId="38997280" w14:textId="4094443F" w:rsidR="007B5407" w:rsidRPr="008F0D85" w:rsidRDefault="00855838" w:rsidP="008F0D85">
      <w:pPr>
        <w:pStyle w:val="ListParagraph"/>
        <w:numPr>
          <w:ilvl w:val="0"/>
          <w:numId w:val="12"/>
        </w:numPr>
        <w:jc w:val="both"/>
        <w:rPr>
          <w:color w:val="44546A" w:themeColor="text2"/>
        </w:rPr>
      </w:pPr>
      <w:r w:rsidRPr="008F0D85">
        <w:rPr>
          <w:color w:val="44546A" w:themeColor="text2"/>
        </w:rPr>
        <w:t>Litres of propane from purchase invoices</w:t>
      </w:r>
    </w:p>
    <w:p w14:paraId="54081472" w14:textId="15D86A5E" w:rsidR="00566EBD" w:rsidRPr="008F0D85" w:rsidRDefault="00AB21EF" w:rsidP="009E2C0C">
      <w:pPr>
        <w:jc w:val="both"/>
        <w:rPr>
          <w:color w:val="44546A" w:themeColor="text2"/>
        </w:rPr>
      </w:pPr>
      <w:r w:rsidRPr="008F0D85">
        <w:rPr>
          <w:color w:val="44546A" w:themeColor="text2"/>
        </w:rPr>
        <w:lastRenderedPageBreak/>
        <w:t xml:space="preserve">These </w:t>
      </w:r>
      <w:r w:rsidR="00D1295F" w:rsidRPr="008F0D85">
        <w:rPr>
          <w:color w:val="44546A" w:themeColor="text2"/>
        </w:rPr>
        <w:t xml:space="preserve">metrics </w:t>
      </w:r>
      <w:r w:rsidRPr="008F0D85">
        <w:rPr>
          <w:color w:val="44546A" w:themeColor="text2"/>
        </w:rPr>
        <w:t xml:space="preserve">were then converted into </w:t>
      </w:r>
      <w:r w:rsidR="00205FED" w:rsidRPr="008F0D85">
        <w:rPr>
          <w:color w:val="44546A" w:themeColor="text2"/>
        </w:rPr>
        <w:t>GJ</w:t>
      </w:r>
      <w:r w:rsidR="009E3D47" w:rsidRPr="008F0D85">
        <w:rPr>
          <w:color w:val="44546A" w:themeColor="text2"/>
        </w:rPr>
        <w:t xml:space="preserve"> with an emissions factor </w:t>
      </w:r>
      <w:r w:rsidR="00D1295F" w:rsidRPr="008F0D85">
        <w:rPr>
          <w:color w:val="44546A" w:themeColor="text2"/>
        </w:rPr>
        <w:t xml:space="preserve">sourced </w:t>
      </w:r>
      <w:r w:rsidR="009E3D47" w:rsidRPr="008F0D85">
        <w:rPr>
          <w:color w:val="44546A" w:themeColor="text2"/>
        </w:rPr>
        <w:t xml:space="preserve">from the </w:t>
      </w:r>
      <w:r w:rsidR="00EA156F" w:rsidRPr="00EA156F">
        <w:rPr>
          <w:color w:val="44546A" w:themeColor="text2"/>
        </w:rPr>
        <w:t>UK Government’s GHG Conversion factors for Company Reporting</w:t>
      </w:r>
      <w:r w:rsidR="009E3D47" w:rsidRPr="008F0D85">
        <w:rPr>
          <w:color w:val="44546A" w:themeColor="text2"/>
        </w:rPr>
        <w:t>.</w:t>
      </w:r>
    </w:p>
    <w:p w14:paraId="2A95E126" w14:textId="77777777" w:rsidR="00623A5D" w:rsidRPr="008F0D85" w:rsidRDefault="00623A5D" w:rsidP="009E2C0C">
      <w:pPr>
        <w:pStyle w:val="Heading4"/>
      </w:pPr>
      <w:r w:rsidRPr="008F0D85">
        <w:t>Assumptions</w:t>
      </w:r>
    </w:p>
    <w:p w14:paraId="2FD83D6C" w14:textId="73E28844" w:rsidR="009E3D47" w:rsidRPr="008F0D85" w:rsidRDefault="00EE65CB" w:rsidP="009E2C0C">
      <w:pPr>
        <w:jc w:val="both"/>
        <w:rPr>
          <w:color w:val="44546A" w:themeColor="text2"/>
        </w:rPr>
      </w:pPr>
      <w:r w:rsidRPr="008F0D85">
        <w:rPr>
          <w:color w:val="44546A" w:themeColor="text2"/>
        </w:rPr>
        <w:t xml:space="preserve">We </w:t>
      </w:r>
      <w:r w:rsidR="00EB4638" w:rsidRPr="008F0D85">
        <w:rPr>
          <w:color w:val="44546A" w:themeColor="text2"/>
        </w:rPr>
        <w:t xml:space="preserve">estimated </w:t>
      </w:r>
      <w:r w:rsidRPr="008F0D85">
        <w:rPr>
          <w:color w:val="44546A" w:themeColor="text2"/>
        </w:rPr>
        <w:t xml:space="preserve">the T&amp;D losses </w:t>
      </w:r>
      <w:r w:rsidR="00950EB0" w:rsidRPr="008F0D85">
        <w:rPr>
          <w:color w:val="44546A" w:themeColor="text2"/>
        </w:rPr>
        <w:t xml:space="preserve">for </w:t>
      </w:r>
      <w:r w:rsidRPr="008F0D85">
        <w:rPr>
          <w:color w:val="44546A" w:themeColor="text2"/>
        </w:rPr>
        <w:t xml:space="preserve">the electricity </w:t>
      </w:r>
      <w:r w:rsidR="00950EB0" w:rsidRPr="008F0D85">
        <w:rPr>
          <w:color w:val="44546A" w:themeColor="text2"/>
        </w:rPr>
        <w:t xml:space="preserve">procured and utilised at </w:t>
      </w:r>
      <w:r w:rsidRPr="008F0D85">
        <w:rPr>
          <w:color w:val="44546A" w:themeColor="text2"/>
        </w:rPr>
        <w:t>our site</w:t>
      </w:r>
      <w:r w:rsidR="00950EB0" w:rsidRPr="008F0D85">
        <w:rPr>
          <w:color w:val="44546A" w:themeColor="text2"/>
        </w:rPr>
        <w:t xml:space="preserve">s, applying an </w:t>
      </w:r>
      <w:r w:rsidRPr="008F0D85">
        <w:rPr>
          <w:color w:val="44546A" w:themeColor="text2"/>
        </w:rPr>
        <w:t>emission factor, informed by a 2011 study on grid electricity-specific emission</w:t>
      </w:r>
      <w:r w:rsidR="007A5E40">
        <w:rPr>
          <w:color w:val="44546A" w:themeColor="text2"/>
        </w:rPr>
        <w:t>s</w:t>
      </w:r>
      <w:r w:rsidR="007A5E40">
        <w:rPr>
          <w:rStyle w:val="FootnoteReference"/>
          <w:color w:val="44546A" w:themeColor="text2"/>
        </w:rPr>
        <w:footnoteReference w:id="21"/>
      </w:r>
      <w:r w:rsidR="003D3CD0" w:rsidRPr="008F0D85">
        <w:rPr>
          <w:color w:val="44546A" w:themeColor="text2"/>
        </w:rPr>
        <w:t>.</w:t>
      </w:r>
    </w:p>
    <w:p w14:paraId="26E0F367" w14:textId="77777777" w:rsidR="00AA25D6" w:rsidRPr="008F0D85" w:rsidRDefault="00AA25D6" w:rsidP="009E2C0C">
      <w:pPr>
        <w:pStyle w:val="Heading4"/>
      </w:pPr>
      <w:r w:rsidRPr="008F0D85">
        <w:t>Inclusion and exclusion</w:t>
      </w:r>
    </w:p>
    <w:p w14:paraId="71574240" w14:textId="3C9CE645" w:rsidR="00416E25" w:rsidRPr="00B43CF5" w:rsidRDefault="00395A18" w:rsidP="00E325F9">
      <w:pPr>
        <w:jc w:val="both"/>
      </w:pPr>
      <w:r w:rsidRPr="008F0D85">
        <w:rPr>
          <w:color w:val="44546A" w:themeColor="text2"/>
        </w:rPr>
        <w:t xml:space="preserve">An </w:t>
      </w:r>
      <w:r w:rsidR="00F2247C">
        <w:rPr>
          <w:color w:val="44546A" w:themeColor="text2"/>
        </w:rPr>
        <w:t xml:space="preserve">important </w:t>
      </w:r>
      <w:r w:rsidR="00006DA5" w:rsidRPr="008F0D85">
        <w:rPr>
          <w:color w:val="44546A" w:themeColor="text2"/>
        </w:rPr>
        <w:t>distinction</w:t>
      </w:r>
      <w:r w:rsidRPr="008F0D85">
        <w:rPr>
          <w:color w:val="44546A" w:themeColor="text2"/>
        </w:rPr>
        <w:t xml:space="preserve"> </w:t>
      </w:r>
      <w:r w:rsidR="005E35F4" w:rsidRPr="005E35F4">
        <w:rPr>
          <w:color w:val="44546A" w:themeColor="text2"/>
        </w:rPr>
        <w:t xml:space="preserve">in </w:t>
      </w:r>
      <w:r w:rsidR="00006DA5" w:rsidRPr="008F0D85">
        <w:rPr>
          <w:color w:val="44546A" w:themeColor="text2"/>
        </w:rPr>
        <w:t>our calculations</w:t>
      </w:r>
      <w:r w:rsidR="005E35F4" w:rsidRPr="005E35F4">
        <w:rPr>
          <w:color w:val="44546A" w:themeColor="text2"/>
        </w:rPr>
        <w:t xml:space="preserve"> </w:t>
      </w:r>
      <w:r w:rsidR="003907D0">
        <w:rPr>
          <w:color w:val="44546A" w:themeColor="text2"/>
        </w:rPr>
        <w:t xml:space="preserve">to note is </w:t>
      </w:r>
      <w:r w:rsidR="00006DA5" w:rsidRPr="008F0D85">
        <w:rPr>
          <w:color w:val="44546A" w:themeColor="text2"/>
        </w:rPr>
        <w:t>the</w:t>
      </w:r>
      <w:r w:rsidRPr="008F0D85">
        <w:rPr>
          <w:color w:val="44546A" w:themeColor="text2"/>
        </w:rPr>
        <w:t xml:space="preserve"> </w:t>
      </w:r>
      <w:r w:rsidR="005E35F4" w:rsidRPr="005E35F4">
        <w:rPr>
          <w:color w:val="44546A" w:themeColor="text2"/>
        </w:rPr>
        <w:t>exclusion of Transmission and Distribution (</w:t>
      </w:r>
      <w:r w:rsidRPr="008F0D85">
        <w:rPr>
          <w:color w:val="44546A" w:themeColor="text2"/>
        </w:rPr>
        <w:t>T&amp;D</w:t>
      </w:r>
      <w:r w:rsidR="005E35F4" w:rsidRPr="005E35F4">
        <w:rPr>
          <w:color w:val="44546A" w:themeColor="text2"/>
        </w:rPr>
        <w:t>)</w:t>
      </w:r>
      <w:r w:rsidRPr="008F0D85">
        <w:rPr>
          <w:color w:val="44546A" w:themeColor="text2"/>
        </w:rPr>
        <w:t xml:space="preserve"> emissions </w:t>
      </w:r>
      <w:r w:rsidR="005E35F4" w:rsidRPr="005E35F4">
        <w:rPr>
          <w:color w:val="44546A" w:themeColor="text2"/>
        </w:rPr>
        <w:t xml:space="preserve">associated with </w:t>
      </w:r>
      <w:r w:rsidRPr="008F0D85">
        <w:rPr>
          <w:color w:val="44546A" w:themeColor="text2"/>
        </w:rPr>
        <w:t>North Macedonia</w:t>
      </w:r>
      <w:r w:rsidR="005E35F4" w:rsidRPr="005E35F4">
        <w:rPr>
          <w:color w:val="44546A" w:themeColor="text2"/>
        </w:rPr>
        <w:t>.</w:t>
      </w:r>
      <w:r w:rsidRPr="008F0D85">
        <w:rPr>
          <w:color w:val="44546A" w:themeColor="text2"/>
        </w:rPr>
        <w:t xml:space="preserve"> This </w:t>
      </w:r>
      <w:r w:rsidR="005E35F4" w:rsidRPr="005E35F4">
        <w:rPr>
          <w:color w:val="44546A" w:themeColor="text2"/>
        </w:rPr>
        <w:t>exclusion was made deliberately, as the Sasa mine operates entirely on renewable energy sources. As a result, the T&amp;D emissions, amounting to 9,585 tCO2e, were omitted from the calculation, reflecting the mine's commitment to utili</w:t>
      </w:r>
      <w:r w:rsidR="00F7120B">
        <w:rPr>
          <w:color w:val="44546A" w:themeColor="text2"/>
        </w:rPr>
        <w:t>s</w:t>
      </w:r>
      <w:r w:rsidR="005E35F4" w:rsidRPr="005E35F4">
        <w:rPr>
          <w:color w:val="44546A" w:themeColor="text2"/>
        </w:rPr>
        <w:t>ing clean energy.</w:t>
      </w:r>
    </w:p>
    <w:p w14:paraId="1C1B111D" w14:textId="137F085C" w:rsidR="006E36F7" w:rsidRPr="008F0D85" w:rsidRDefault="0088405E" w:rsidP="009E2C0C">
      <w:pPr>
        <w:pStyle w:val="Heading3"/>
      </w:pPr>
      <w:r w:rsidRPr="00B43CF5">
        <w:br w:type="page"/>
      </w:r>
      <w:bookmarkStart w:id="18" w:name="_Toc194670373"/>
      <w:r w:rsidR="006E36F7" w:rsidRPr="008F0D85">
        <w:lastRenderedPageBreak/>
        <w:t xml:space="preserve">Category 4 – Upstream transportation </w:t>
      </w:r>
      <w:r w:rsidR="002A5301" w:rsidRPr="008F0D85">
        <w:t>and distribution</w:t>
      </w:r>
      <w:bookmarkEnd w:id="18"/>
      <w:r w:rsidR="002A5301" w:rsidRPr="008F0D85">
        <w:t xml:space="preserve"> </w:t>
      </w:r>
    </w:p>
    <w:tbl>
      <w:tblPr>
        <w:tblStyle w:val="GridTable5Dark-Accent2"/>
        <w:tblpPr w:leftFromText="180" w:rightFromText="180" w:vertAnchor="text" w:horzAnchor="margin" w:tblpY="193"/>
        <w:tblW w:w="9067" w:type="dxa"/>
        <w:tblLook w:val="04A0" w:firstRow="1" w:lastRow="0" w:firstColumn="1" w:lastColumn="0" w:noHBand="0" w:noVBand="1"/>
      </w:tblPr>
      <w:tblGrid>
        <w:gridCol w:w="2547"/>
        <w:gridCol w:w="6520"/>
      </w:tblGrid>
      <w:tr w:rsidR="00C93BB2" w:rsidRPr="00B43CF5" w14:paraId="399132F0" w14:textId="77777777" w:rsidTr="00C93BB2">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3E5C60"/>
          </w:tcPr>
          <w:p w14:paraId="70745296" w14:textId="77777777" w:rsidR="00C93BB2" w:rsidRPr="00B43CF5" w:rsidRDefault="00C93BB2" w:rsidP="00C93BB2">
            <w:pPr>
              <w:jc w:val="both"/>
            </w:pPr>
            <w:r w:rsidRPr="00B43CF5">
              <w:t xml:space="preserve">Category 4 </w:t>
            </w:r>
          </w:p>
        </w:tc>
      </w:tr>
      <w:tr w:rsidR="00C93BB2" w:rsidRPr="00B43CF5" w14:paraId="1582400D" w14:textId="77777777" w:rsidTr="00C93BB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125BF124" w14:textId="77777777" w:rsidR="00C93BB2" w:rsidRPr="00B43CF5" w:rsidRDefault="00C93BB2" w:rsidP="00C93BB2">
            <w:r w:rsidRPr="00B43CF5">
              <w:t>Description</w:t>
            </w:r>
          </w:p>
        </w:tc>
        <w:tc>
          <w:tcPr>
            <w:tcW w:w="6520" w:type="dxa"/>
            <w:shd w:val="clear" w:color="auto" w:fill="C3D5D7"/>
          </w:tcPr>
          <w:p w14:paraId="6C3E9E49" w14:textId="1761F26B" w:rsidR="00C93BB2" w:rsidRPr="009E2C0C"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9E2C0C">
              <w:rPr>
                <w:color w:val="44546A" w:themeColor="text2"/>
              </w:rPr>
              <w:t>All emissions from the transportation and distribution of products (excluding fuel and energy products) purchased or acquired by CAML in the reporting year. This is where CAML pay</w:t>
            </w:r>
            <w:r w:rsidR="00C771D5">
              <w:rPr>
                <w:color w:val="44546A" w:themeColor="text2"/>
              </w:rPr>
              <w:t>s</w:t>
            </w:r>
            <w:r w:rsidRPr="009E2C0C">
              <w:rPr>
                <w:color w:val="44546A" w:themeColor="text2"/>
              </w:rPr>
              <w:t xml:space="preserve"> for the transport costs to sell to our customers</w:t>
            </w:r>
            <w:r w:rsidR="006A4CD1">
              <w:rPr>
                <w:color w:val="44546A" w:themeColor="text2"/>
              </w:rPr>
              <w:t>.</w:t>
            </w:r>
          </w:p>
          <w:p w14:paraId="394B36CE" w14:textId="77777777" w:rsidR="00C93BB2" w:rsidRPr="009E2C0C"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C93BB2" w:rsidRPr="00B43CF5" w14:paraId="32FE9B80" w14:textId="77777777" w:rsidTr="00C93BB2">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40DFE394" w14:textId="77777777" w:rsidR="00C93BB2" w:rsidRPr="00B43CF5" w:rsidRDefault="00C93BB2" w:rsidP="00C93BB2">
            <w:r w:rsidRPr="0052529A">
              <w:t>Emissions (</w:t>
            </w:r>
            <w:r w:rsidRPr="008F0D85">
              <w:rPr>
                <w:rFonts w:eastAsia="Times New Roman"/>
              </w:rPr>
              <w:t>tCO</w:t>
            </w:r>
            <w:r w:rsidRPr="008F0D85">
              <w:rPr>
                <w:rFonts w:eastAsia="Times New Roman"/>
                <w:vertAlign w:val="subscript"/>
              </w:rPr>
              <w:t>2</w:t>
            </w:r>
            <w:r w:rsidRPr="008F0D85">
              <w:rPr>
                <w:rFonts w:eastAsia="Times New Roman"/>
              </w:rPr>
              <w:t>e)</w:t>
            </w:r>
          </w:p>
        </w:tc>
        <w:tc>
          <w:tcPr>
            <w:tcW w:w="6520" w:type="dxa"/>
            <w:shd w:val="clear" w:color="auto" w:fill="E1EAEB"/>
          </w:tcPr>
          <w:p w14:paraId="682A68B9" w14:textId="3B346BBA" w:rsidR="00C93BB2" w:rsidRPr="009E2C0C" w:rsidRDefault="00C93BB2" w:rsidP="00C93BB2">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B135FE">
              <w:rPr>
                <w:color w:val="44546A" w:themeColor="text2"/>
              </w:rPr>
              <w:t>1,9</w:t>
            </w:r>
            <w:r w:rsidR="00E9778D" w:rsidRPr="00DA35A0">
              <w:rPr>
                <w:color w:val="44546A" w:themeColor="text2"/>
              </w:rPr>
              <w:t>41</w:t>
            </w:r>
            <w:r w:rsidRPr="00B135FE">
              <w:rPr>
                <w:color w:val="44546A" w:themeColor="text2"/>
              </w:rPr>
              <w:t xml:space="preserve"> (202</w:t>
            </w:r>
            <w:r w:rsidR="00E9778D" w:rsidRPr="00DA35A0">
              <w:rPr>
                <w:color w:val="44546A" w:themeColor="text2"/>
              </w:rPr>
              <w:t>3</w:t>
            </w:r>
            <w:r w:rsidRPr="00B135FE">
              <w:rPr>
                <w:color w:val="44546A" w:themeColor="text2"/>
              </w:rPr>
              <w:t>: 1,</w:t>
            </w:r>
            <w:r w:rsidR="00E9778D" w:rsidRPr="00DA35A0">
              <w:rPr>
                <w:color w:val="44546A" w:themeColor="text2"/>
              </w:rPr>
              <w:t>993</w:t>
            </w:r>
            <w:r w:rsidRPr="00B135FE">
              <w:rPr>
                <w:color w:val="44546A" w:themeColor="text2"/>
              </w:rPr>
              <w:t>)</w:t>
            </w:r>
          </w:p>
          <w:p w14:paraId="3E0077BE" w14:textId="77777777" w:rsidR="00C93BB2" w:rsidRPr="009E2C0C" w:rsidRDefault="00C93BB2" w:rsidP="00C93BB2">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C93BB2" w:rsidRPr="00B43CF5" w14:paraId="45B60827" w14:textId="77777777" w:rsidTr="00C93BB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6CA0516B" w14:textId="0731B0BC" w:rsidR="00C93BB2" w:rsidRPr="00B43CF5" w:rsidRDefault="00C93BB2" w:rsidP="00C93BB2">
            <w:r w:rsidRPr="00B43CF5">
              <w:t>Calculation</w:t>
            </w:r>
            <w:r w:rsidR="00C146F2">
              <w:t xml:space="preserve"> method</w:t>
            </w:r>
          </w:p>
        </w:tc>
        <w:tc>
          <w:tcPr>
            <w:tcW w:w="6520" w:type="dxa"/>
            <w:shd w:val="clear" w:color="auto" w:fill="C3D5D7"/>
          </w:tcPr>
          <w:p w14:paraId="5D60607E" w14:textId="567F4C77" w:rsidR="00C93BB2" w:rsidRPr="009E2C0C"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9E2C0C">
              <w:rPr>
                <w:color w:val="44546A" w:themeColor="text2"/>
              </w:rPr>
              <w:t>Average</w:t>
            </w:r>
            <w:r w:rsidR="006F2120">
              <w:rPr>
                <w:color w:val="44546A" w:themeColor="text2"/>
              </w:rPr>
              <w:t>-</w:t>
            </w:r>
            <w:r w:rsidRPr="009E2C0C">
              <w:rPr>
                <w:color w:val="44546A" w:themeColor="text2"/>
              </w:rPr>
              <w:t>data method</w:t>
            </w:r>
          </w:p>
          <w:p w14:paraId="5562ADE5" w14:textId="77777777" w:rsidR="00C93BB2" w:rsidRPr="009E2C0C"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C93BB2" w:rsidRPr="00B43CF5" w14:paraId="771B1685" w14:textId="77777777" w:rsidTr="00C93BB2">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73639176" w14:textId="77777777" w:rsidR="00C93BB2" w:rsidRPr="00B43CF5" w:rsidRDefault="00C93BB2" w:rsidP="00C93BB2">
            <w:r w:rsidRPr="00B43CF5">
              <w:t>Activity data source</w:t>
            </w:r>
          </w:p>
        </w:tc>
        <w:tc>
          <w:tcPr>
            <w:tcW w:w="6520" w:type="dxa"/>
            <w:shd w:val="clear" w:color="auto" w:fill="E1EAEB"/>
          </w:tcPr>
          <w:p w14:paraId="4DD05F24" w14:textId="155AC809" w:rsidR="00C93BB2" w:rsidRPr="009E2C0C" w:rsidRDefault="00C93BB2" w:rsidP="00C93BB2">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9E2C0C">
              <w:rPr>
                <w:color w:val="44546A" w:themeColor="text2"/>
              </w:rPr>
              <w:t>The activity data provided by our sales department of</w:t>
            </w:r>
            <w:r w:rsidR="006A4CD1">
              <w:rPr>
                <w:color w:val="44546A" w:themeColor="text2"/>
              </w:rPr>
              <w:t xml:space="preserve"> the</w:t>
            </w:r>
            <w:r w:rsidRPr="009E2C0C">
              <w:rPr>
                <w:color w:val="44546A" w:themeColor="text2"/>
              </w:rPr>
              <w:t xml:space="preserve"> number of trucks dispatched during the year including the total weight per truck and distance travelled per journey</w:t>
            </w:r>
            <w:r w:rsidR="006A4CD1">
              <w:rPr>
                <w:color w:val="44546A" w:themeColor="text2"/>
              </w:rPr>
              <w:t>.</w:t>
            </w:r>
          </w:p>
          <w:p w14:paraId="4DDECAE8" w14:textId="77777777" w:rsidR="00C93BB2" w:rsidRPr="009E2C0C" w:rsidRDefault="00C93BB2" w:rsidP="00C93BB2">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C93BB2" w:rsidRPr="00B43CF5" w14:paraId="61EDD63A" w14:textId="77777777" w:rsidTr="00C93BB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653BF043" w14:textId="77777777" w:rsidR="00C93BB2" w:rsidRPr="00B43CF5" w:rsidRDefault="00C93BB2" w:rsidP="00C93BB2">
            <w:r w:rsidRPr="00B43CF5">
              <w:t>Emissions data source</w:t>
            </w:r>
          </w:p>
        </w:tc>
        <w:tc>
          <w:tcPr>
            <w:tcW w:w="6520" w:type="dxa"/>
            <w:shd w:val="clear" w:color="auto" w:fill="C3D5D7"/>
          </w:tcPr>
          <w:p w14:paraId="477D3599" w14:textId="7A322A52" w:rsidR="00C93BB2" w:rsidRPr="009E2C0C"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9E2C0C">
              <w:rPr>
                <w:color w:val="44546A" w:themeColor="text2"/>
              </w:rPr>
              <w:t>This value was then factored with the specific vehicle emission data provided by the US Environmental Protection Agency</w:t>
            </w:r>
            <w:r w:rsidRPr="009E2C0C">
              <w:rPr>
                <w:rStyle w:val="FootnoteReference"/>
                <w:color w:val="44546A" w:themeColor="text2"/>
              </w:rPr>
              <w:footnoteReference w:id="22"/>
            </w:r>
            <w:r w:rsidR="006A4CD1">
              <w:rPr>
                <w:color w:val="44546A" w:themeColor="text2"/>
              </w:rPr>
              <w:t>.</w:t>
            </w:r>
          </w:p>
          <w:p w14:paraId="297E00B5" w14:textId="77777777" w:rsidR="00C93BB2" w:rsidRPr="009E2C0C" w:rsidRDefault="00C93BB2" w:rsidP="00C93BB2">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bl>
    <w:p w14:paraId="1961E847" w14:textId="77777777" w:rsidR="000551C7" w:rsidRDefault="000551C7" w:rsidP="00623A5D">
      <w:pPr>
        <w:jc w:val="both"/>
        <w:rPr>
          <w:b/>
          <w:bCs/>
          <w:u w:val="single"/>
        </w:rPr>
      </w:pPr>
    </w:p>
    <w:p w14:paraId="4EB7F897" w14:textId="6341CFCA" w:rsidR="00623A5D" w:rsidRPr="008F0D85" w:rsidRDefault="00623A5D" w:rsidP="009E2C0C">
      <w:pPr>
        <w:pStyle w:val="Heading4"/>
      </w:pPr>
      <w:r w:rsidRPr="008F0D85">
        <w:t>Boundaries</w:t>
      </w:r>
    </w:p>
    <w:p w14:paraId="368878EC" w14:textId="4CB93EAC" w:rsidR="009E3D47" w:rsidRPr="008F0D85" w:rsidRDefault="00C8206B" w:rsidP="009E2C0C">
      <w:pPr>
        <w:jc w:val="both"/>
        <w:rPr>
          <w:color w:val="44546A" w:themeColor="text2"/>
        </w:rPr>
      </w:pPr>
      <w:r>
        <w:rPr>
          <w:color w:val="44546A" w:themeColor="text2"/>
        </w:rPr>
        <w:t>In accordance with the</w:t>
      </w:r>
      <w:r w:rsidR="001D49C5" w:rsidRPr="008F0D85">
        <w:rPr>
          <w:color w:val="44546A" w:themeColor="text2"/>
        </w:rPr>
        <w:t xml:space="preserve"> Scope 3 Standard, this category accounts for emissions </w:t>
      </w:r>
      <w:r w:rsidR="00C22FB7" w:rsidRPr="008F0D85">
        <w:rPr>
          <w:color w:val="44546A" w:themeColor="text2"/>
        </w:rPr>
        <w:t xml:space="preserve">categorised </w:t>
      </w:r>
      <w:r w:rsidR="001D49C5" w:rsidRPr="008F0D85">
        <w:rPr>
          <w:color w:val="44546A" w:themeColor="text2"/>
        </w:rPr>
        <w:t>as upstream based on financial transactions. The emissions cover road, rail, and marine freight</w:t>
      </w:r>
      <w:r w:rsidR="00641A1D" w:rsidRPr="008F0D85">
        <w:rPr>
          <w:color w:val="44546A" w:themeColor="text2"/>
        </w:rPr>
        <w:t>.</w:t>
      </w:r>
    </w:p>
    <w:p w14:paraId="7528F5E4" w14:textId="475A6ADC" w:rsidR="009E3D47" w:rsidRPr="008F0D85" w:rsidRDefault="009E3D47" w:rsidP="009E2C0C">
      <w:pPr>
        <w:pStyle w:val="Heading4"/>
      </w:pPr>
      <w:r w:rsidRPr="008F0D85">
        <w:t>Calculation method</w:t>
      </w:r>
    </w:p>
    <w:p w14:paraId="3E8CD213" w14:textId="0A9E7120" w:rsidR="007B65EB" w:rsidRPr="008F0D85" w:rsidRDefault="00292633" w:rsidP="009E2C0C">
      <w:pPr>
        <w:jc w:val="both"/>
        <w:rPr>
          <w:color w:val="44546A" w:themeColor="text2"/>
        </w:rPr>
      </w:pPr>
      <w:r w:rsidRPr="008F0D85">
        <w:rPr>
          <w:color w:val="44546A" w:themeColor="text2"/>
        </w:rPr>
        <w:t xml:space="preserve">CAML’s sales team provided details of the total sales </w:t>
      </w:r>
      <w:r w:rsidR="007B65EB" w:rsidRPr="008F0D85">
        <w:rPr>
          <w:color w:val="44546A" w:themeColor="text2"/>
        </w:rPr>
        <w:t xml:space="preserve">to each customer </w:t>
      </w:r>
      <w:r w:rsidRPr="008F0D85">
        <w:rPr>
          <w:color w:val="44546A" w:themeColor="text2"/>
        </w:rPr>
        <w:t>made across the Grou</w:t>
      </w:r>
      <w:r w:rsidR="007B65EB" w:rsidRPr="008F0D85">
        <w:rPr>
          <w:color w:val="44546A" w:themeColor="text2"/>
        </w:rPr>
        <w:t xml:space="preserve">p. </w:t>
      </w:r>
      <w:r w:rsidR="00A743A8" w:rsidRPr="008F0D85">
        <w:rPr>
          <w:color w:val="44546A" w:themeColor="text2"/>
        </w:rPr>
        <w:t xml:space="preserve">Category 4 includes those </w:t>
      </w:r>
      <w:r w:rsidR="00852DE4" w:rsidRPr="008F0D85">
        <w:rPr>
          <w:color w:val="44546A" w:themeColor="text2"/>
        </w:rPr>
        <w:t>transportation and distribution costs paid for by our supplier</w:t>
      </w:r>
      <w:r w:rsidR="0058211B">
        <w:rPr>
          <w:color w:val="44546A" w:themeColor="text2"/>
        </w:rPr>
        <w:t>s</w:t>
      </w:r>
      <w:r w:rsidR="00852DE4" w:rsidRPr="008F0D85">
        <w:rPr>
          <w:color w:val="44546A" w:themeColor="text2"/>
        </w:rPr>
        <w:t xml:space="preserve">. </w:t>
      </w:r>
      <w:r w:rsidR="00236976">
        <w:rPr>
          <w:color w:val="44546A" w:themeColor="text2"/>
        </w:rPr>
        <w:t>Copper, zinc and lead</w:t>
      </w:r>
      <w:r w:rsidR="007B65EB" w:rsidRPr="008F0D85">
        <w:rPr>
          <w:color w:val="44546A" w:themeColor="text2"/>
        </w:rPr>
        <w:t xml:space="preserve"> are transported from the </w:t>
      </w:r>
      <w:r w:rsidR="00236976">
        <w:rPr>
          <w:color w:val="44546A" w:themeColor="text2"/>
        </w:rPr>
        <w:t>operations</w:t>
      </w:r>
      <w:r w:rsidR="007B65EB" w:rsidRPr="008F0D85">
        <w:rPr>
          <w:color w:val="44546A" w:themeColor="text2"/>
        </w:rPr>
        <w:t xml:space="preserve"> to </w:t>
      </w:r>
      <w:r w:rsidR="00236976">
        <w:rPr>
          <w:color w:val="44546A" w:themeColor="text2"/>
        </w:rPr>
        <w:t>the</w:t>
      </w:r>
      <w:r w:rsidR="007B65EB" w:rsidRPr="008F0D85">
        <w:rPr>
          <w:color w:val="44546A" w:themeColor="text2"/>
        </w:rPr>
        <w:t xml:space="preserve"> smelter/customer directly via trucks and a departure port. </w:t>
      </w:r>
      <w:r w:rsidR="003F11EA">
        <w:rPr>
          <w:color w:val="44546A" w:themeColor="text2"/>
        </w:rPr>
        <w:t>D</w:t>
      </w:r>
      <w:r w:rsidR="007B65EB" w:rsidRPr="008F0D85">
        <w:rPr>
          <w:color w:val="44546A" w:themeColor="text2"/>
        </w:rPr>
        <w:t xml:space="preserve">istances </w:t>
      </w:r>
      <w:r w:rsidR="003F11EA">
        <w:rPr>
          <w:color w:val="44546A" w:themeColor="text2"/>
        </w:rPr>
        <w:t xml:space="preserve">for </w:t>
      </w:r>
      <w:r w:rsidR="007B65EB" w:rsidRPr="008F0D85">
        <w:rPr>
          <w:color w:val="44546A" w:themeColor="text2"/>
        </w:rPr>
        <w:t xml:space="preserve">each journey </w:t>
      </w:r>
      <w:r w:rsidR="003F11EA">
        <w:rPr>
          <w:color w:val="44546A" w:themeColor="text2"/>
        </w:rPr>
        <w:t xml:space="preserve">were </w:t>
      </w:r>
      <w:r w:rsidR="00482BD9">
        <w:rPr>
          <w:color w:val="44546A" w:themeColor="text2"/>
        </w:rPr>
        <w:t>estimated</w:t>
      </w:r>
      <w:r w:rsidR="003F11EA">
        <w:rPr>
          <w:color w:val="44546A" w:themeColor="text2"/>
        </w:rPr>
        <w:t xml:space="preserve"> </w:t>
      </w:r>
      <w:r w:rsidR="007B65EB" w:rsidRPr="008F0D85">
        <w:rPr>
          <w:color w:val="44546A" w:themeColor="text2"/>
        </w:rPr>
        <w:t>based on reasonable assumptions. For each mode of transport</w:t>
      </w:r>
      <w:r w:rsidR="003F11EA">
        <w:rPr>
          <w:color w:val="44546A" w:themeColor="text2"/>
        </w:rPr>
        <w:t>,</w:t>
      </w:r>
      <w:r w:rsidR="007B65EB" w:rsidRPr="008F0D85">
        <w:rPr>
          <w:color w:val="44546A" w:themeColor="text2"/>
        </w:rPr>
        <w:t xml:space="preserve"> distances</w:t>
      </w:r>
      <w:r w:rsidR="003F11EA">
        <w:rPr>
          <w:color w:val="44546A" w:themeColor="text2"/>
        </w:rPr>
        <w:t xml:space="preserve"> were </w:t>
      </w:r>
      <w:r w:rsidR="00482BD9">
        <w:rPr>
          <w:color w:val="44546A" w:themeColor="text2"/>
        </w:rPr>
        <w:t>estimated</w:t>
      </w:r>
      <w:r w:rsidR="003F11EA">
        <w:rPr>
          <w:color w:val="44546A" w:themeColor="text2"/>
        </w:rPr>
        <w:t xml:space="preserve"> and emissions factors from the </w:t>
      </w:r>
      <w:r w:rsidR="00876486" w:rsidRPr="008F0D85">
        <w:rPr>
          <w:color w:val="44546A" w:themeColor="text2"/>
        </w:rPr>
        <w:t xml:space="preserve">US </w:t>
      </w:r>
      <w:r w:rsidR="00441384" w:rsidRPr="008F0D85">
        <w:rPr>
          <w:color w:val="44546A" w:themeColor="text2"/>
        </w:rPr>
        <w:t xml:space="preserve">Environmental Protection Agency </w:t>
      </w:r>
      <w:r w:rsidR="007B65EB" w:rsidRPr="008F0D85">
        <w:rPr>
          <w:color w:val="44546A" w:themeColor="text2"/>
        </w:rPr>
        <w:t xml:space="preserve">for the </w:t>
      </w:r>
      <w:r w:rsidR="00EF70F0">
        <w:rPr>
          <w:color w:val="44546A" w:themeColor="text2"/>
        </w:rPr>
        <w:t>respective</w:t>
      </w:r>
      <w:r w:rsidR="007B65EB" w:rsidRPr="008F0D85">
        <w:rPr>
          <w:color w:val="44546A" w:themeColor="text2"/>
        </w:rPr>
        <w:t xml:space="preserve"> transport mode were applied to the freight distance </w:t>
      </w:r>
      <w:r w:rsidR="003757C0">
        <w:rPr>
          <w:color w:val="44546A" w:themeColor="text2"/>
        </w:rPr>
        <w:t>for an</w:t>
      </w:r>
      <w:r w:rsidR="007B65EB" w:rsidRPr="008F0D85">
        <w:rPr>
          <w:color w:val="44546A" w:themeColor="text2"/>
        </w:rPr>
        <w:t xml:space="preserve"> emission estimate </w:t>
      </w:r>
      <w:r w:rsidR="00C22FB7" w:rsidRPr="008F0D85">
        <w:rPr>
          <w:color w:val="44546A" w:themeColor="text2"/>
        </w:rPr>
        <w:t>of each product.</w:t>
      </w:r>
    </w:p>
    <w:p w14:paraId="02C88DE7" w14:textId="77777777" w:rsidR="00623A5D" w:rsidRPr="008F0D85" w:rsidRDefault="00623A5D" w:rsidP="009E2C0C">
      <w:pPr>
        <w:pStyle w:val="Heading4"/>
      </w:pPr>
      <w:r w:rsidRPr="008F0D85">
        <w:t>Assumptions</w:t>
      </w:r>
    </w:p>
    <w:p w14:paraId="5B9CE63F" w14:textId="04B42FF3" w:rsidR="009E2C0C" w:rsidRDefault="00DC0E19" w:rsidP="00C93BB2">
      <w:pPr>
        <w:jc w:val="both"/>
        <w:rPr>
          <w:color w:val="44546A" w:themeColor="text2"/>
        </w:rPr>
      </w:pPr>
      <w:r w:rsidRPr="008F0D85">
        <w:rPr>
          <w:color w:val="44546A" w:themeColor="text2"/>
        </w:rPr>
        <w:t>The average</w:t>
      </w:r>
      <w:r w:rsidR="006F2120">
        <w:rPr>
          <w:color w:val="44546A" w:themeColor="text2"/>
        </w:rPr>
        <w:t>-</w:t>
      </w:r>
      <w:r w:rsidRPr="008F0D85">
        <w:rPr>
          <w:color w:val="44546A" w:themeColor="text2"/>
        </w:rPr>
        <w:t xml:space="preserve">data method used </w:t>
      </w:r>
      <w:r w:rsidR="000807A4" w:rsidRPr="008F0D85">
        <w:rPr>
          <w:color w:val="44546A" w:themeColor="text2"/>
        </w:rPr>
        <w:t>G</w:t>
      </w:r>
      <w:r w:rsidRPr="008F0D85">
        <w:rPr>
          <w:color w:val="44546A" w:themeColor="text2"/>
        </w:rPr>
        <w:t xml:space="preserve">oogle </w:t>
      </w:r>
      <w:r w:rsidR="00B74DF4" w:rsidRPr="008F0D85">
        <w:rPr>
          <w:color w:val="44546A" w:themeColor="text2"/>
        </w:rPr>
        <w:t>M</w:t>
      </w:r>
      <w:r w:rsidRPr="008F0D85">
        <w:rPr>
          <w:color w:val="44546A" w:themeColor="text2"/>
        </w:rPr>
        <w:t xml:space="preserve">aps to estimate </w:t>
      </w:r>
      <w:r w:rsidR="000A376D" w:rsidRPr="008F0D85">
        <w:rPr>
          <w:color w:val="44546A" w:themeColor="text2"/>
        </w:rPr>
        <w:t xml:space="preserve">the </w:t>
      </w:r>
      <w:r w:rsidRPr="008F0D85">
        <w:rPr>
          <w:color w:val="44546A" w:themeColor="text2"/>
        </w:rPr>
        <w:t xml:space="preserve">distance from the </w:t>
      </w:r>
      <w:r w:rsidR="00D66F02">
        <w:rPr>
          <w:color w:val="44546A" w:themeColor="text2"/>
        </w:rPr>
        <w:t xml:space="preserve">operations </w:t>
      </w:r>
      <w:r w:rsidRPr="008F0D85">
        <w:rPr>
          <w:color w:val="44546A" w:themeColor="text2"/>
        </w:rPr>
        <w:t>gate to customers.</w:t>
      </w:r>
      <w:r w:rsidR="00C05FE2" w:rsidRPr="008F0D85">
        <w:rPr>
          <w:color w:val="44546A" w:themeColor="text2"/>
        </w:rPr>
        <w:t xml:space="preserve"> The data </w:t>
      </w:r>
      <w:r w:rsidRPr="008F0D85">
        <w:rPr>
          <w:color w:val="44546A" w:themeColor="text2"/>
        </w:rPr>
        <w:t>captur</w:t>
      </w:r>
      <w:r w:rsidR="00C05FE2" w:rsidRPr="008F0D85">
        <w:rPr>
          <w:color w:val="44546A" w:themeColor="text2"/>
        </w:rPr>
        <w:t>es</w:t>
      </w:r>
      <w:r w:rsidRPr="008F0D85">
        <w:rPr>
          <w:color w:val="44546A" w:themeColor="text2"/>
        </w:rPr>
        <w:t xml:space="preserve"> the net product mass transported monthly, and discerning the truck types, the latter of which was sourced from</w:t>
      </w:r>
      <w:r w:rsidR="00FF126D">
        <w:rPr>
          <w:color w:val="44546A" w:themeColor="text2"/>
        </w:rPr>
        <w:t xml:space="preserve"> our</w:t>
      </w:r>
      <w:r w:rsidRPr="008F0D85">
        <w:rPr>
          <w:color w:val="44546A" w:themeColor="text2"/>
        </w:rPr>
        <w:t xml:space="preserve"> </w:t>
      </w:r>
      <w:proofErr w:type="gramStart"/>
      <w:r w:rsidRPr="008F0D85">
        <w:rPr>
          <w:color w:val="44546A" w:themeColor="text2"/>
        </w:rPr>
        <w:t>Sales</w:t>
      </w:r>
      <w:proofErr w:type="gramEnd"/>
      <w:r w:rsidRPr="008F0D85">
        <w:rPr>
          <w:color w:val="44546A" w:themeColor="text2"/>
        </w:rPr>
        <w:t xml:space="preserve"> Departments. This data collection process produced the total distance travelled in </w:t>
      </w:r>
      <w:r w:rsidR="003757C0" w:rsidRPr="008F0D85">
        <w:rPr>
          <w:color w:val="44546A" w:themeColor="text2"/>
        </w:rPr>
        <w:t>k</w:t>
      </w:r>
      <w:r w:rsidR="003757C0">
        <w:rPr>
          <w:color w:val="44546A" w:themeColor="text2"/>
        </w:rPr>
        <w:t>ilo</w:t>
      </w:r>
      <w:r w:rsidR="003757C0" w:rsidRPr="008F0D85">
        <w:rPr>
          <w:color w:val="44546A" w:themeColor="text2"/>
        </w:rPr>
        <w:t>m</w:t>
      </w:r>
      <w:r w:rsidR="003757C0">
        <w:rPr>
          <w:color w:val="44546A" w:themeColor="text2"/>
        </w:rPr>
        <w:t>etre</w:t>
      </w:r>
      <w:r w:rsidR="0058211B">
        <w:rPr>
          <w:color w:val="44546A" w:themeColor="text2"/>
        </w:rPr>
        <w:t>s</w:t>
      </w:r>
      <w:r w:rsidRPr="008F0D85">
        <w:rPr>
          <w:color w:val="44546A" w:themeColor="text2"/>
        </w:rPr>
        <w:t xml:space="preserve"> and the weight in</w:t>
      </w:r>
      <w:r w:rsidR="00FE1C9E" w:rsidRPr="008F0D85">
        <w:rPr>
          <w:color w:val="44546A" w:themeColor="text2"/>
        </w:rPr>
        <w:t xml:space="preserve"> </w:t>
      </w:r>
      <w:r w:rsidR="006635F2" w:rsidRPr="008F0D85">
        <w:rPr>
          <w:color w:val="44546A" w:themeColor="text2"/>
        </w:rPr>
        <w:t>wet metric tonne</w:t>
      </w:r>
      <w:r w:rsidR="0058211B">
        <w:rPr>
          <w:color w:val="44546A" w:themeColor="text2"/>
        </w:rPr>
        <w:t>s</w:t>
      </w:r>
      <w:r w:rsidRPr="008F0D85">
        <w:rPr>
          <w:color w:val="44546A" w:themeColor="text2"/>
        </w:rPr>
        <w:t xml:space="preserve"> </w:t>
      </w:r>
      <w:r w:rsidR="006635F2" w:rsidRPr="008F0D85">
        <w:rPr>
          <w:color w:val="44546A" w:themeColor="text2"/>
        </w:rPr>
        <w:t>(</w:t>
      </w:r>
      <w:proofErr w:type="spellStart"/>
      <w:r w:rsidRPr="008F0D85">
        <w:rPr>
          <w:color w:val="44546A" w:themeColor="text2"/>
        </w:rPr>
        <w:t>wmt</w:t>
      </w:r>
      <w:proofErr w:type="spellEnd"/>
      <w:r w:rsidR="006635F2" w:rsidRPr="008F0D85">
        <w:rPr>
          <w:color w:val="44546A" w:themeColor="text2"/>
        </w:rPr>
        <w:t>)</w:t>
      </w:r>
      <w:r w:rsidRPr="008F0D85">
        <w:rPr>
          <w:color w:val="44546A" w:themeColor="text2"/>
        </w:rPr>
        <w:t xml:space="preserve"> per truck. </w:t>
      </w:r>
    </w:p>
    <w:p w14:paraId="763BCA2C" w14:textId="718C5FFB" w:rsidR="00C22FB7" w:rsidRPr="008F0D85" w:rsidRDefault="0074701C" w:rsidP="009E2C0C">
      <w:pPr>
        <w:jc w:val="both"/>
        <w:rPr>
          <w:color w:val="44546A" w:themeColor="text2"/>
        </w:rPr>
      </w:pPr>
      <w:r>
        <w:rPr>
          <w:color w:val="44546A" w:themeColor="text2"/>
        </w:rPr>
        <w:t>The average</w:t>
      </w:r>
      <w:r w:rsidR="006F2120">
        <w:rPr>
          <w:color w:val="44546A" w:themeColor="text2"/>
        </w:rPr>
        <w:t>-</w:t>
      </w:r>
      <w:r>
        <w:rPr>
          <w:color w:val="44546A" w:themeColor="text2"/>
        </w:rPr>
        <w:t xml:space="preserve">data method involved </w:t>
      </w:r>
      <w:r w:rsidR="00922F49">
        <w:rPr>
          <w:color w:val="44546A" w:themeColor="text2"/>
        </w:rPr>
        <w:t xml:space="preserve">multiplying the </w:t>
      </w:r>
      <w:r w:rsidR="00DC0E19" w:rsidRPr="008F0D85">
        <w:rPr>
          <w:color w:val="44546A" w:themeColor="text2"/>
        </w:rPr>
        <w:t xml:space="preserve">mass per journey in </w:t>
      </w:r>
      <w:proofErr w:type="spellStart"/>
      <w:r w:rsidR="00DC0E19" w:rsidRPr="008F0D85">
        <w:rPr>
          <w:color w:val="44546A" w:themeColor="text2"/>
        </w:rPr>
        <w:t>wmt</w:t>
      </w:r>
      <w:proofErr w:type="spellEnd"/>
      <w:r w:rsidR="00DC0E19" w:rsidRPr="008F0D85">
        <w:rPr>
          <w:color w:val="44546A" w:themeColor="text2"/>
        </w:rPr>
        <w:t xml:space="preserve"> by the total distance. This value was then factored with the specific vehicle emission </w:t>
      </w:r>
      <w:r w:rsidR="00DC0E19" w:rsidRPr="008F0D85">
        <w:rPr>
          <w:color w:val="44546A" w:themeColor="text2"/>
        </w:rPr>
        <w:lastRenderedPageBreak/>
        <w:t>data provided by the US Environmental Protection Agency</w:t>
      </w:r>
      <w:r w:rsidR="00527185">
        <w:rPr>
          <w:rStyle w:val="FootnoteReference"/>
          <w:color w:val="44546A" w:themeColor="text2"/>
        </w:rPr>
        <w:footnoteReference w:id="23"/>
      </w:r>
      <w:r w:rsidR="00DC0E19" w:rsidRPr="008F0D85">
        <w:rPr>
          <w:color w:val="44546A" w:themeColor="text2"/>
        </w:rPr>
        <w:t>. These figures detailed emissions as CO</w:t>
      </w:r>
      <w:r w:rsidR="00DC0E19" w:rsidRPr="008F0D85">
        <w:rPr>
          <w:color w:val="44546A" w:themeColor="text2"/>
          <w:vertAlign w:val="subscript"/>
        </w:rPr>
        <w:t>2</w:t>
      </w:r>
      <w:r w:rsidR="00DC0E19" w:rsidRPr="008F0D85">
        <w:rPr>
          <w:color w:val="44546A" w:themeColor="text2"/>
        </w:rPr>
        <w:t>, CH</w:t>
      </w:r>
      <w:r w:rsidR="00DC0E19" w:rsidRPr="008F0D85">
        <w:rPr>
          <w:color w:val="44546A" w:themeColor="text2"/>
          <w:vertAlign w:val="subscript"/>
        </w:rPr>
        <w:t>4</w:t>
      </w:r>
      <w:r w:rsidR="00DC0E19" w:rsidRPr="008F0D85">
        <w:rPr>
          <w:color w:val="44546A" w:themeColor="text2"/>
        </w:rPr>
        <w:t>, and N</w:t>
      </w:r>
      <w:r w:rsidR="00DC0E19" w:rsidRPr="008F0D85">
        <w:rPr>
          <w:color w:val="44546A" w:themeColor="text2"/>
          <w:vertAlign w:val="subscript"/>
        </w:rPr>
        <w:t>2</w:t>
      </w:r>
      <w:r w:rsidR="00DC0E19" w:rsidRPr="008F0D85">
        <w:rPr>
          <w:color w:val="44546A" w:themeColor="text2"/>
        </w:rPr>
        <w:t>O per mile. The</w:t>
      </w:r>
      <w:r w:rsidR="00BD1588">
        <w:rPr>
          <w:color w:val="44546A" w:themeColor="text2"/>
        </w:rPr>
        <w:t xml:space="preserve">se were then </w:t>
      </w:r>
      <w:proofErr w:type="gramStart"/>
      <w:r w:rsidR="00BD1588">
        <w:rPr>
          <w:color w:val="44546A" w:themeColor="text2"/>
        </w:rPr>
        <w:t>combined</w:t>
      </w:r>
      <w:r w:rsidR="00DC0E19" w:rsidRPr="008F0D85">
        <w:rPr>
          <w:color w:val="44546A" w:themeColor="text2"/>
        </w:rPr>
        <w:t xml:space="preserve"> </w:t>
      </w:r>
      <w:r w:rsidR="00625B98">
        <w:rPr>
          <w:color w:val="44546A" w:themeColor="text2"/>
        </w:rPr>
        <w:t xml:space="preserve"> giving</w:t>
      </w:r>
      <w:proofErr w:type="gramEnd"/>
      <w:r w:rsidR="00625B98">
        <w:rPr>
          <w:color w:val="44546A" w:themeColor="text2"/>
        </w:rPr>
        <w:t xml:space="preserve"> </w:t>
      </w:r>
      <w:r w:rsidR="00DC0E19" w:rsidRPr="008F0D85">
        <w:rPr>
          <w:color w:val="44546A" w:themeColor="text2"/>
        </w:rPr>
        <w:t xml:space="preserve">an initial </w:t>
      </w:r>
      <w:r w:rsidR="00D62538">
        <w:rPr>
          <w:color w:val="44546A" w:themeColor="text2"/>
        </w:rPr>
        <w:t>value</w:t>
      </w:r>
      <w:r w:rsidR="00D62538" w:rsidRPr="008F0D85">
        <w:rPr>
          <w:color w:val="44546A" w:themeColor="text2"/>
        </w:rPr>
        <w:t xml:space="preserve"> </w:t>
      </w:r>
      <w:r w:rsidR="00DC0E19" w:rsidRPr="008F0D85">
        <w:rPr>
          <w:color w:val="44546A" w:themeColor="text2"/>
        </w:rPr>
        <w:t>in k</w:t>
      </w:r>
      <w:r w:rsidR="00FF126D">
        <w:rPr>
          <w:color w:val="44546A" w:themeColor="text2"/>
        </w:rPr>
        <w:t>ilo</w:t>
      </w:r>
      <w:r w:rsidR="00DC0E19" w:rsidRPr="008F0D85">
        <w:rPr>
          <w:color w:val="44546A" w:themeColor="text2"/>
        </w:rPr>
        <w:t>g</w:t>
      </w:r>
      <w:r w:rsidR="00FF126D">
        <w:rPr>
          <w:color w:val="44546A" w:themeColor="text2"/>
        </w:rPr>
        <w:t>ramme</w:t>
      </w:r>
      <w:r w:rsidR="00C676C2">
        <w:rPr>
          <w:color w:val="44546A" w:themeColor="text2"/>
        </w:rPr>
        <w:t xml:space="preserve"> </w:t>
      </w:r>
      <w:r w:rsidR="00DC0E19" w:rsidRPr="008F0D85">
        <w:rPr>
          <w:color w:val="44546A" w:themeColor="text2"/>
        </w:rPr>
        <w:t>CO</w:t>
      </w:r>
      <w:r w:rsidR="00DC0E19" w:rsidRPr="008F0D85">
        <w:rPr>
          <w:color w:val="44546A" w:themeColor="text2"/>
          <w:vertAlign w:val="subscript"/>
        </w:rPr>
        <w:t>2</w:t>
      </w:r>
      <w:r w:rsidR="00DC0E19" w:rsidRPr="008F0D85">
        <w:rPr>
          <w:color w:val="44546A" w:themeColor="text2"/>
        </w:rPr>
        <w:t xml:space="preserve">e </w:t>
      </w:r>
      <w:r w:rsidR="00C10340">
        <w:rPr>
          <w:color w:val="44546A" w:themeColor="text2"/>
        </w:rPr>
        <w:t>which was</w:t>
      </w:r>
      <w:r w:rsidR="00A62697">
        <w:rPr>
          <w:color w:val="44546A" w:themeColor="text2"/>
        </w:rPr>
        <w:t xml:space="preserve"> </w:t>
      </w:r>
      <w:r w:rsidR="00DC0E19" w:rsidRPr="008F0D85">
        <w:rPr>
          <w:color w:val="44546A" w:themeColor="text2"/>
        </w:rPr>
        <w:t xml:space="preserve">converted </w:t>
      </w:r>
      <w:r w:rsidR="00CA34DF">
        <w:rPr>
          <w:color w:val="44546A" w:themeColor="text2"/>
        </w:rPr>
        <w:t>into</w:t>
      </w:r>
      <w:r w:rsidR="00DC0E19" w:rsidRPr="008F0D85">
        <w:rPr>
          <w:color w:val="44546A" w:themeColor="text2"/>
        </w:rPr>
        <w:t xml:space="preserve"> </w:t>
      </w:r>
      <w:r w:rsidR="00EA01DF" w:rsidRPr="008F0D85">
        <w:rPr>
          <w:rFonts w:eastAsia="Times New Roman"/>
          <w:color w:val="44546A" w:themeColor="text2"/>
        </w:rPr>
        <w:t>t</w:t>
      </w:r>
      <w:r w:rsidR="00D62538">
        <w:rPr>
          <w:rFonts w:eastAsia="Times New Roman"/>
          <w:color w:val="44546A" w:themeColor="text2"/>
        </w:rPr>
        <w:t xml:space="preserve">onnes </w:t>
      </w:r>
      <w:r w:rsidR="00EA01DF" w:rsidRPr="008F0D85">
        <w:rPr>
          <w:rFonts w:eastAsia="Times New Roman"/>
          <w:color w:val="44546A" w:themeColor="text2"/>
        </w:rPr>
        <w:t>CO</w:t>
      </w:r>
      <w:r w:rsidR="00EA01DF" w:rsidRPr="008F0D85">
        <w:rPr>
          <w:rFonts w:eastAsia="Times New Roman"/>
          <w:color w:val="44546A" w:themeColor="text2"/>
          <w:vertAlign w:val="subscript"/>
        </w:rPr>
        <w:t>2</w:t>
      </w:r>
      <w:r w:rsidR="00C10340">
        <w:rPr>
          <w:color w:val="44546A" w:themeColor="text2"/>
        </w:rPr>
        <w:t>e.</w:t>
      </w:r>
    </w:p>
    <w:p w14:paraId="0F7F8CB3" w14:textId="77777777" w:rsidR="00C22FB7" w:rsidRPr="008F0D85" w:rsidRDefault="00C22FB7" w:rsidP="009E2C0C">
      <w:pPr>
        <w:pStyle w:val="Heading4"/>
      </w:pPr>
      <w:r w:rsidRPr="008F0D85">
        <w:t>Inclusion and exclusion</w:t>
      </w:r>
    </w:p>
    <w:p w14:paraId="7E4596D2" w14:textId="4784AC10" w:rsidR="0088405E" w:rsidRPr="008F0D85" w:rsidRDefault="0030110C" w:rsidP="00006DA5">
      <w:pPr>
        <w:jc w:val="both"/>
        <w:rPr>
          <w:color w:val="44546A" w:themeColor="text2"/>
        </w:rPr>
      </w:pPr>
      <w:r w:rsidRPr="008F0D85">
        <w:rPr>
          <w:color w:val="44546A" w:themeColor="text2"/>
        </w:rPr>
        <w:t xml:space="preserve">No exclusions </w:t>
      </w:r>
      <w:r w:rsidR="00922F49">
        <w:rPr>
          <w:color w:val="44546A" w:themeColor="text2"/>
        </w:rPr>
        <w:t xml:space="preserve">were made </w:t>
      </w:r>
      <w:r w:rsidRPr="008F0D85">
        <w:rPr>
          <w:color w:val="44546A" w:themeColor="text2"/>
        </w:rPr>
        <w:t>from this category</w:t>
      </w:r>
      <w:r w:rsidR="00C10340">
        <w:rPr>
          <w:color w:val="44546A" w:themeColor="text2"/>
        </w:rPr>
        <w:t xml:space="preserve"> - </w:t>
      </w:r>
      <w:r w:rsidRPr="008F0D85">
        <w:rPr>
          <w:color w:val="44546A" w:themeColor="text2"/>
        </w:rPr>
        <w:t>all sales have been recorded and accounted for</w:t>
      </w:r>
      <w:r w:rsidR="00922F49">
        <w:rPr>
          <w:color w:val="44546A" w:themeColor="text2"/>
        </w:rPr>
        <w:t>. H</w:t>
      </w:r>
      <w:r w:rsidRPr="008F0D85">
        <w:rPr>
          <w:color w:val="44546A" w:themeColor="text2"/>
        </w:rPr>
        <w:t>owever</w:t>
      </w:r>
      <w:r w:rsidR="00922F49">
        <w:rPr>
          <w:color w:val="44546A" w:themeColor="text2"/>
        </w:rPr>
        <w:t>,</w:t>
      </w:r>
      <w:r w:rsidRPr="008F0D85">
        <w:rPr>
          <w:color w:val="44546A" w:themeColor="text2"/>
        </w:rPr>
        <w:t xml:space="preserve"> the exact distance travelled</w:t>
      </w:r>
      <w:r w:rsidR="00922F49">
        <w:rPr>
          <w:color w:val="44546A" w:themeColor="text2"/>
        </w:rPr>
        <w:t xml:space="preserve"> by each truck and ship</w:t>
      </w:r>
      <w:r w:rsidRPr="008F0D85">
        <w:rPr>
          <w:color w:val="44546A" w:themeColor="text2"/>
        </w:rPr>
        <w:t xml:space="preserve"> has been </w:t>
      </w:r>
      <w:r w:rsidR="00220D19" w:rsidRPr="008F0D85">
        <w:rPr>
          <w:color w:val="44546A" w:themeColor="text2"/>
        </w:rPr>
        <w:t>averaged rather</w:t>
      </w:r>
      <w:r w:rsidRPr="008F0D85">
        <w:rPr>
          <w:color w:val="44546A" w:themeColor="text2"/>
        </w:rPr>
        <w:t xml:space="preserve"> </w:t>
      </w:r>
      <w:r w:rsidR="00220D19" w:rsidRPr="008F0D85">
        <w:rPr>
          <w:color w:val="44546A" w:themeColor="text2"/>
        </w:rPr>
        <w:t xml:space="preserve">than </w:t>
      </w:r>
      <w:proofErr w:type="gramStart"/>
      <w:r w:rsidR="00C44880">
        <w:rPr>
          <w:color w:val="44546A" w:themeColor="text2"/>
        </w:rPr>
        <w:t xml:space="preserve">using </w:t>
      </w:r>
      <w:r w:rsidR="00701F67">
        <w:rPr>
          <w:color w:val="44546A" w:themeColor="text2"/>
        </w:rPr>
        <w:t xml:space="preserve"> the</w:t>
      </w:r>
      <w:proofErr w:type="gramEnd"/>
      <w:r w:rsidR="00701F67">
        <w:rPr>
          <w:color w:val="44546A" w:themeColor="text2"/>
        </w:rPr>
        <w:t xml:space="preserve"> actual</w:t>
      </w:r>
      <w:r w:rsidR="00C44880">
        <w:rPr>
          <w:color w:val="44546A" w:themeColor="text2"/>
        </w:rPr>
        <w:t xml:space="preserve"> total</w:t>
      </w:r>
      <w:r w:rsidR="00220D19" w:rsidRPr="008F0D85">
        <w:rPr>
          <w:color w:val="44546A" w:themeColor="text2"/>
        </w:rPr>
        <w:t xml:space="preserve"> distance </w:t>
      </w:r>
      <w:r w:rsidR="00C44880">
        <w:rPr>
          <w:color w:val="44546A" w:themeColor="text2"/>
        </w:rPr>
        <w:t>per</w:t>
      </w:r>
      <w:r w:rsidR="00220D19" w:rsidRPr="008F0D85">
        <w:rPr>
          <w:color w:val="44546A" w:themeColor="text2"/>
        </w:rPr>
        <w:t xml:space="preserve"> journey.</w:t>
      </w:r>
      <w:r w:rsidR="0088405E" w:rsidRPr="008F0D85">
        <w:rPr>
          <w:color w:val="44546A" w:themeColor="text2"/>
        </w:rPr>
        <w:br w:type="page"/>
      </w:r>
    </w:p>
    <w:p w14:paraId="6CDE974E" w14:textId="189036CB" w:rsidR="00F145A3" w:rsidRPr="008F0D85" w:rsidRDefault="00F145A3" w:rsidP="00A9699A">
      <w:pPr>
        <w:pStyle w:val="Heading3"/>
      </w:pPr>
      <w:bookmarkStart w:id="19" w:name="_Toc194670374"/>
      <w:r w:rsidRPr="008F0D85">
        <w:lastRenderedPageBreak/>
        <w:t>Category 5 – Waste generated in operations</w:t>
      </w:r>
      <w:bookmarkEnd w:id="19"/>
      <w:r w:rsidRPr="008F0D85">
        <w:t xml:space="preserve"> </w:t>
      </w:r>
    </w:p>
    <w:tbl>
      <w:tblPr>
        <w:tblStyle w:val="GridTable5Dark-Accent2"/>
        <w:tblpPr w:leftFromText="180" w:rightFromText="180" w:vertAnchor="page" w:horzAnchor="margin" w:tblpY="1981"/>
        <w:tblW w:w="9072" w:type="dxa"/>
        <w:tblLook w:val="04A0" w:firstRow="1" w:lastRow="0" w:firstColumn="1" w:lastColumn="0" w:noHBand="0" w:noVBand="1"/>
      </w:tblPr>
      <w:tblGrid>
        <w:gridCol w:w="2547"/>
        <w:gridCol w:w="6525"/>
      </w:tblGrid>
      <w:tr w:rsidR="00A9699A" w:rsidRPr="00B43CF5" w14:paraId="121EB655" w14:textId="77777777" w:rsidTr="00A9699A">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3E5C60"/>
          </w:tcPr>
          <w:p w14:paraId="5B98DB37" w14:textId="77777777" w:rsidR="00A9699A" w:rsidRPr="00B43CF5" w:rsidRDefault="00A9699A" w:rsidP="00A9699A">
            <w:pPr>
              <w:jc w:val="both"/>
            </w:pPr>
            <w:r w:rsidRPr="00B43CF5">
              <w:t xml:space="preserve">Category 5 </w:t>
            </w:r>
          </w:p>
        </w:tc>
      </w:tr>
      <w:tr w:rsidR="00A9699A" w:rsidRPr="00B43CF5" w14:paraId="0FC7239A" w14:textId="77777777" w:rsidTr="00A9699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3F459D31" w14:textId="77777777" w:rsidR="00A9699A" w:rsidRPr="00B43CF5" w:rsidRDefault="00A9699A" w:rsidP="00A9699A">
            <w:r w:rsidRPr="00B43CF5">
              <w:t>Description</w:t>
            </w:r>
          </w:p>
        </w:tc>
        <w:tc>
          <w:tcPr>
            <w:tcW w:w="6525" w:type="dxa"/>
            <w:shd w:val="clear" w:color="auto" w:fill="C3D5D7"/>
          </w:tcPr>
          <w:p w14:paraId="24E567AD" w14:textId="0F1996C6" w:rsidR="00A9699A" w:rsidRPr="008F0D85" w:rsidRDefault="00A9699A" w:rsidP="00837818">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 xml:space="preserve">Emissions arising from third-party external disposal and treatment </w:t>
            </w:r>
            <w:r w:rsidR="00C97F3B">
              <w:rPr>
                <w:color w:val="44546A" w:themeColor="text2"/>
              </w:rPr>
              <w:t xml:space="preserve">of </w:t>
            </w:r>
            <w:r w:rsidR="00837818">
              <w:rPr>
                <w:color w:val="44546A" w:themeColor="text2"/>
              </w:rPr>
              <w:t xml:space="preserve">waste generated during the reporting year </w:t>
            </w:r>
            <w:r w:rsidRPr="008F0D85">
              <w:rPr>
                <w:color w:val="44546A" w:themeColor="text2"/>
              </w:rPr>
              <w:t>in facilities not controlled by CAML</w:t>
            </w:r>
            <w:r w:rsidR="00837818">
              <w:rPr>
                <w:color w:val="44546A" w:themeColor="text2"/>
              </w:rPr>
              <w:t>.</w:t>
            </w:r>
          </w:p>
        </w:tc>
      </w:tr>
      <w:tr w:rsidR="00A9699A" w:rsidRPr="00B43CF5" w14:paraId="56D38603" w14:textId="77777777" w:rsidTr="00A9699A">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65AD96EC" w14:textId="77777777" w:rsidR="00A9699A" w:rsidRPr="00B43CF5" w:rsidRDefault="00A9699A" w:rsidP="00A9699A">
            <w:r w:rsidRPr="00203133">
              <w:t>Emissions (</w:t>
            </w:r>
            <w:r w:rsidRPr="008F0D85">
              <w:rPr>
                <w:rFonts w:eastAsia="Times New Roman"/>
              </w:rPr>
              <w:t>tCO</w:t>
            </w:r>
            <w:r w:rsidRPr="008F0D85">
              <w:rPr>
                <w:rFonts w:eastAsia="Times New Roman"/>
                <w:vertAlign w:val="subscript"/>
              </w:rPr>
              <w:t>2</w:t>
            </w:r>
            <w:r w:rsidRPr="008F0D85">
              <w:rPr>
                <w:rFonts w:eastAsia="Times New Roman"/>
              </w:rPr>
              <w:t>e)</w:t>
            </w:r>
          </w:p>
        </w:tc>
        <w:tc>
          <w:tcPr>
            <w:tcW w:w="6525" w:type="dxa"/>
            <w:shd w:val="clear" w:color="auto" w:fill="E1EAEB"/>
          </w:tcPr>
          <w:p w14:paraId="4F83BC9E" w14:textId="48EFFDC0" w:rsidR="00A9699A" w:rsidRPr="008F0D85" w:rsidRDefault="00B300ED" w:rsidP="00A9699A">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B135FE">
              <w:rPr>
                <w:color w:val="44546A" w:themeColor="text2"/>
              </w:rPr>
              <w:t>48</w:t>
            </w:r>
            <w:r w:rsidR="00A9699A" w:rsidRPr="00B135FE">
              <w:rPr>
                <w:color w:val="44546A" w:themeColor="text2"/>
              </w:rPr>
              <w:t>0 (202</w:t>
            </w:r>
            <w:r w:rsidRPr="00B135FE">
              <w:rPr>
                <w:color w:val="44546A" w:themeColor="text2"/>
              </w:rPr>
              <w:t>3</w:t>
            </w:r>
            <w:r w:rsidR="00A9699A" w:rsidRPr="00B135FE">
              <w:rPr>
                <w:color w:val="44546A" w:themeColor="text2"/>
              </w:rPr>
              <w:t>: 39</w:t>
            </w:r>
            <w:r w:rsidRPr="00B135FE">
              <w:rPr>
                <w:color w:val="44546A" w:themeColor="text2"/>
              </w:rPr>
              <w:t>0</w:t>
            </w:r>
            <w:r w:rsidR="00A9699A" w:rsidRPr="00B135FE">
              <w:rPr>
                <w:color w:val="44546A" w:themeColor="text2"/>
              </w:rPr>
              <w:t>)</w:t>
            </w:r>
          </w:p>
          <w:p w14:paraId="0BE7CDEC" w14:textId="77777777" w:rsidR="00A9699A" w:rsidRPr="008F0D85" w:rsidRDefault="00A9699A" w:rsidP="00A9699A">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A9699A" w:rsidRPr="00B43CF5" w14:paraId="1E34C21F" w14:textId="77777777" w:rsidTr="00A9699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0BC91289" w14:textId="0CBB714F" w:rsidR="00A9699A" w:rsidRPr="00B43CF5" w:rsidRDefault="00A9699A" w:rsidP="00A9699A">
            <w:r w:rsidRPr="00B43CF5">
              <w:t>Calculation</w:t>
            </w:r>
            <w:r w:rsidR="00C146F2">
              <w:t xml:space="preserve"> method</w:t>
            </w:r>
          </w:p>
        </w:tc>
        <w:tc>
          <w:tcPr>
            <w:tcW w:w="6525" w:type="dxa"/>
            <w:shd w:val="clear" w:color="auto" w:fill="C3D5D7"/>
          </w:tcPr>
          <w:p w14:paraId="3BD8C565" w14:textId="2D5463DD" w:rsidR="00A9699A" w:rsidRPr="008F0D85" w:rsidRDefault="00EA77CC" w:rsidP="00A9699A">
            <w:pPr>
              <w:jc w:val="both"/>
              <w:cnfStyle w:val="000000100000" w:firstRow="0" w:lastRow="0" w:firstColumn="0" w:lastColumn="0" w:oddVBand="0" w:evenVBand="0" w:oddHBand="1" w:evenHBand="0" w:firstRowFirstColumn="0" w:firstRowLastColumn="0" w:lastRowFirstColumn="0" w:lastRowLastColumn="0"/>
              <w:rPr>
                <w:color w:val="44546A" w:themeColor="text2"/>
              </w:rPr>
            </w:pPr>
            <w:r>
              <w:rPr>
                <w:color w:val="44546A" w:themeColor="text2"/>
              </w:rPr>
              <w:t>Average</w:t>
            </w:r>
            <w:r w:rsidR="004B10FD">
              <w:rPr>
                <w:color w:val="44546A" w:themeColor="text2"/>
              </w:rPr>
              <w:t>-</w:t>
            </w:r>
            <w:r>
              <w:rPr>
                <w:color w:val="44546A" w:themeColor="text2"/>
              </w:rPr>
              <w:t>data method</w:t>
            </w:r>
          </w:p>
          <w:p w14:paraId="0619934E" w14:textId="77777777" w:rsidR="00A9699A" w:rsidRPr="008F0D85" w:rsidRDefault="00A9699A" w:rsidP="00A9699A">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A9699A" w:rsidRPr="00B43CF5" w14:paraId="4825FBB5" w14:textId="77777777" w:rsidTr="00A9699A">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6907EE3C" w14:textId="77777777" w:rsidR="00A9699A" w:rsidRPr="00B43CF5" w:rsidRDefault="00A9699A" w:rsidP="00A9699A">
            <w:r w:rsidRPr="00B43CF5">
              <w:t>Activity data source</w:t>
            </w:r>
          </w:p>
        </w:tc>
        <w:tc>
          <w:tcPr>
            <w:tcW w:w="6525" w:type="dxa"/>
            <w:shd w:val="clear" w:color="auto" w:fill="E1EAEB"/>
          </w:tcPr>
          <w:p w14:paraId="704B5EDE" w14:textId="2B5B22DE" w:rsidR="00A9699A" w:rsidRPr="008F0D85" w:rsidRDefault="00A9699A" w:rsidP="00A9699A">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8F0D85">
              <w:rPr>
                <w:color w:val="44546A" w:themeColor="text2"/>
              </w:rPr>
              <w:t xml:space="preserve">Waste data provided by </w:t>
            </w:r>
            <w:r w:rsidR="00D7391E">
              <w:rPr>
                <w:color w:val="44546A" w:themeColor="text2"/>
              </w:rPr>
              <w:t>the operations</w:t>
            </w:r>
            <w:r w:rsidRPr="008F0D85">
              <w:rPr>
                <w:color w:val="44546A" w:themeColor="text2"/>
              </w:rPr>
              <w:t xml:space="preserve"> </w:t>
            </w:r>
            <w:r w:rsidR="00C97F3B">
              <w:rPr>
                <w:color w:val="44546A" w:themeColor="text2"/>
              </w:rPr>
              <w:t>E</w:t>
            </w:r>
            <w:r w:rsidRPr="008F0D85">
              <w:rPr>
                <w:color w:val="44546A" w:themeColor="text2"/>
              </w:rPr>
              <w:t>nvironment</w:t>
            </w:r>
            <w:r w:rsidR="00C97F3B">
              <w:rPr>
                <w:color w:val="44546A" w:themeColor="text2"/>
              </w:rPr>
              <w:t>al Department</w:t>
            </w:r>
            <w:r w:rsidR="00385DE3">
              <w:rPr>
                <w:color w:val="44546A" w:themeColor="text2"/>
              </w:rPr>
              <w:t xml:space="preserve">s </w:t>
            </w:r>
            <w:r w:rsidR="005D6551">
              <w:rPr>
                <w:color w:val="44546A" w:themeColor="text2"/>
              </w:rPr>
              <w:t>outlining the waste</w:t>
            </w:r>
            <w:r w:rsidR="008E363F">
              <w:rPr>
                <w:color w:val="44546A" w:themeColor="text2"/>
              </w:rPr>
              <w:t>,</w:t>
            </w:r>
            <w:r w:rsidRPr="008F0D85">
              <w:rPr>
                <w:color w:val="44546A" w:themeColor="text2"/>
              </w:rPr>
              <w:t xml:space="preserve"> </w:t>
            </w:r>
            <w:r w:rsidR="001E3579">
              <w:rPr>
                <w:color w:val="44546A" w:themeColor="text2"/>
              </w:rPr>
              <w:t xml:space="preserve">each sites waste management practices and how waste is </w:t>
            </w:r>
            <w:r w:rsidRPr="008F0D85">
              <w:rPr>
                <w:color w:val="44546A" w:themeColor="text2"/>
              </w:rPr>
              <w:t>categori</w:t>
            </w:r>
            <w:r w:rsidR="0058211B">
              <w:rPr>
                <w:color w:val="44546A" w:themeColor="text2"/>
              </w:rPr>
              <w:t>s</w:t>
            </w:r>
            <w:r w:rsidRPr="008F0D85">
              <w:rPr>
                <w:color w:val="44546A" w:themeColor="text2"/>
              </w:rPr>
              <w:t>ed into hazardous and non-hazardous</w:t>
            </w:r>
            <w:r w:rsidR="001E3579">
              <w:rPr>
                <w:color w:val="44546A" w:themeColor="text2"/>
              </w:rPr>
              <w:t xml:space="preserve"> waste</w:t>
            </w:r>
            <w:r w:rsidR="009E27D2">
              <w:rPr>
                <w:color w:val="44546A" w:themeColor="text2"/>
              </w:rPr>
              <w:t>.</w:t>
            </w:r>
          </w:p>
          <w:p w14:paraId="16835A25" w14:textId="77777777" w:rsidR="00A9699A" w:rsidRPr="008F0D85" w:rsidRDefault="00A9699A" w:rsidP="00A9699A">
            <w:pPr>
              <w:jc w:val="both"/>
              <w:cnfStyle w:val="000000000000" w:firstRow="0" w:lastRow="0" w:firstColumn="0" w:lastColumn="0" w:oddVBand="0" w:evenVBand="0" w:oddHBand="0" w:evenHBand="0" w:firstRowFirstColumn="0" w:firstRowLastColumn="0" w:lastRowFirstColumn="0" w:lastRowLastColumn="0"/>
              <w:rPr>
                <w:color w:val="44546A" w:themeColor="text2"/>
                <w:highlight w:val="yellow"/>
              </w:rPr>
            </w:pPr>
          </w:p>
        </w:tc>
      </w:tr>
      <w:tr w:rsidR="00A9699A" w:rsidRPr="00B43CF5" w14:paraId="3855E5A4" w14:textId="77777777" w:rsidTr="00A9699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7436266B" w14:textId="77777777" w:rsidR="00A9699A" w:rsidRPr="00B43CF5" w:rsidRDefault="00A9699A" w:rsidP="00A9699A">
            <w:r w:rsidRPr="00B43CF5">
              <w:t>Emissions data source</w:t>
            </w:r>
          </w:p>
        </w:tc>
        <w:tc>
          <w:tcPr>
            <w:tcW w:w="6525" w:type="dxa"/>
            <w:shd w:val="clear" w:color="auto" w:fill="C3D5D7"/>
          </w:tcPr>
          <w:p w14:paraId="5C6CC4A4" w14:textId="588E7F79" w:rsidR="00A9699A" w:rsidRPr="008F0D85" w:rsidRDefault="00A9699A" w:rsidP="00A9699A">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 xml:space="preserve">Emission factors for landfills and incinerators taken from the </w:t>
            </w:r>
            <w:r w:rsidR="00B570C2" w:rsidRPr="00B570C2">
              <w:rPr>
                <w:color w:val="44546A" w:themeColor="text2"/>
              </w:rPr>
              <w:t>UK Government’s GHG Conversion factors for Company Reporting</w:t>
            </w:r>
            <w:r w:rsidRPr="008F0D85">
              <w:rPr>
                <w:rStyle w:val="FootnoteReference"/>
                <w:color w:val="44546A" w:themeColor="text2"/>
              </w:rPr>
              <w:footnoteReference w:id="24"/>
            </w:r>
            <w:r w:rsidR="009E27D2">
              <w:rPr>
                <w:color w:val="44546A" w:themeColor="text2"/>
              </w:rPr>
              <w:t>.</w:t>
            </w:r>
          </w:p>
          <w:p w14:paraId="53C0A576" w14:textId="77777777" w:rsidR="00A9699A" w:rsidRPr="008F0D85" w:rsidRDefault="00A9699A" w:rsidP="00A9699A">
            <w:pPr>
              <w:jc w:val="both"/>
              <w:cnfStyle w:val="000000100000" w:firstRow="0" w:lastRow="0" w:firstColumn="0" w:lastColumn="0" w:oddVBand="0" w:evenVBand="0" w:oddHBand="1" w:evenHBand="0" w:firstRowFirstColumn="0" w:firstRowLastColumn="0" w:lastRowFirstColumn="0" w:lastRowLastColumn="0"/>
              <w:rPr>
                <w:color w:val="44546A" w:themeColor="text2"/>
              </w:rPr>
            </w:pPr>
          </w:p>
          <w:p w14:paraId="20989090" w14:textId="5A803C54" w:rsidR="00A9699A" w:rsidRPr="008F0D85" w:rsidRDefault="00A9699A" w:rsidP="00A9699A">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 xml:space="preserve">Recycling emission factors provided by Turner </w:t>
            </w:r>
            <w:r w:rsidR="00441CDC">
              <w:rPr>
                <w:color w:val="44546A" w:themeColor="text2"/>
              </w:rPr>
              <w:t xml:space="preserve">D. </w:t>
            </w:r>
            <w:r w:rsidRPr="008F0D85">
              <w:rPr>
                <w:color w:val="44546A" w:themeColor="text2"/>
              </w:rPr>
              <w:t>A. et al (2015) study</w:t>
            </w:r>
            <w:r w:rsidRPr="008F0D85">
              <w:rPr>
                <w:rStyle w:val="FootnoteReference"/>
                <w:color w:val="44546A" w:themeColor="text2"/>
              </w:rPr>
              <w:footnoteReference w:id="25"/>
            </w:r>
            <w:r w:rsidR="009E27D2">
              <w:rPr>
                <w:color w:val="44546A" w:themeColor="text2"/>
              </w:rPr>
              <w:t>.</w:t>
            </w:r>
          </w:p>
          <w:p w14:paraId="17EE9EFC" w14:textId="77777777" w:rsidR="00A9699A" w:rsidRPr="008F0D85" w:rsidRDefault="00A9699A" w:rsidP="00A9699A">
            <w:pPr>
              <w:jc w:val="both"/>
              <w:cnfStyle w:val="000000100000" w:firstRow="0" w:lastRow="0" w:firstColumn="0" w:lastColumn="0" w:oddVBand="0" w:evenVBand="0" w:oddHBand="1" w:evenHBand="0" w:firstRowFirstColumn="0" w:firstRowLastColumn="0" w:lastRowFirstColumn="0" w:lastRowLastColumn="0"/>
              <w:rPr>
                <w:color w:val="44546A" w:themeColor="text2"/>
                <w:highlight w:val="yellow"/>
              </w:rPr>
            </w:pPr>
          </w:p>
        </w:tc>
      </w:tr>
    </w:tbl>
    <w:p w14:paraId="012E9915" w14:textId="77777777" w:rsidR="000551C7" w:rsidRDefault="000551C7" w:rsidP="00623A5D">
      <w:pPr>
        <w:jc w:val="both"/>
        <w:rPr>
          <w:b/>
          <w:bCs/>
          <w:u w:val="single"/>
        </w:rPr>
      </w:pPr>
    </w:p>
    <w:p w14:paraId="39E0D6F5" w14:textId="166E5257" w:rsidR="00623A5D" w:rsidRPr="008F0D85" w:rsidRDefault="00623A5D" w:rsidP="00A9699A">
      <w:pPr>
        <w:pStyle w:val="Heading4"/>
      </w:pPr>
      <w:r w:rsidRPr="008F0D85">
        <w:t>Boundaries</w:t>
      </w:r>
    </w:p>
    <w:p w14:paraId="5DDDEA3E" w14:textId="6E234A15" w:rsidR="00203133" w:rsidRPr="008F0D85" w:rsidRDefault="001609C0" w:rsidP="00A9699A">
      <w:pPr>
        <w:jc w:val="both"/>
        <w:rPr>
          <w:color w:val="44546A" w:themeColor="text2"/>
        </w:rPr>
      </w:pPr>
      <w:r w:rsidRPr="008F0D85">
        <w:rPr>
          <w:color w:val="44546A" w:themeColor="text2"/>
        </w:rPr>
        <w:t xml:space="preserve">Emissions associated with third-party treatment </w:t>
      </w:r>
      <w:r w:rsidR="0059266A">
        <w:rPr>
          <w:color w:val="44546A" w:themeColor="text2"/>
        </w:rPr>
        <w:t xml:space="preserve">primarily pertain </w:t>
      </w:r>
      <w:r w:rsidRPr="008F0D85">
        <w:rPr>
          <w:color w:val="44546A" w:themeColor="text2"/>
        </w:rPr>
        <w:t>to waste materials transported and disposed off</w:t>
      </w:r>
      <w:r w:rsidR="00501B71">
        <w:rPr>
          <w:color w:val="44546A" w:themeColor="text2"/>
        </w:rPr>
        <w:t>-</w:t>
      </w:r>
      <w:r w:rsidRPr="008F0D85">
        <w:rPr>
          <w:color w:val="44546A" w:themeColor="text2"/>
        </w:rPr>
        <w:t xml:space="preserve">site. </w:t>
      </w:r>
      <w:r w:rsidR="006D67A5">
        <w:rPr>
          <w:color w:val="44546A" w:themeColor="text2"/>
        </w:rPr>
        <w:t>Waste</w:t>
      </w:r>
      <w:r w:rsidRPr="008F0D85">
        <w:rPr>
          <w:color w:val="44546A" w:themeColor="text2"/>
        </w:rPr>
        <w:t xml:space="preserve"> data </w:t>
      </w:r>
      <w:r w:rsidR="00CF73D1">
        <w:rPr>
          <w:color w:val="44546A" w:themeColor="text2"/>
        </w:rPr>
        <w:t>falls</w:t>
      </w:r>
      <w:r w:rsidR="00813285" w:rsidRPr="008F0D85">
        <w:rPr>
          <w:color w:val="44546A" w:themeColor="text2"/>
        </w:rPr>
        <w:t xml:space="preserve"> into two categories</w:t>
      </w:r>
      <w:r w:rsidRPr="008F0D85">
        <w:rPr>
          <w:color w:val="44546A" w:themeColor="text2"/>
        </w:rPr>
        <w:t>: hazardous and non-hazardous</w:t>
      </w:r>
      <w:r w:rsidR="00CF73D1">
        <w:rPr>
          <w:color w:val="44546A" w:themeColor="text2"/>
        </w:rPr>
        <w:t xml:space="preserve"> and is further </w:t>
      </w:r>
      <w:r w:rsidR="00B85A55">
        <w:rPr>
          <w:color w:val="44546A" w:themeColor="text2"/>
        </w:rPr>
        <w:t>subcategorised by its disposal method (</w:t>
      </w:r>
      <w:r w:rsidR="00DC0B28">
        <w:rPr>
          <w:color w:val="44546A" w:themeColor="text2"/>
        </w:rPr>
        <w:t>disposed o</w:t>
      </w:r>
      <w:r w:rsidR="00B44ACA">
        <w:rPr>
          <w:color w:val="44546A" w:themeColor="text2"/>
        </w:rPr>
        <w:t>f</w:t>
      </w:r>
      <w:r w:rsidR="00DC0B28">
        <w:rPr>
          <w:color w:val="44546A" w:themeColor="text2"/>
        </w:rPr>
        <w:t xml:space="preserve"> in </w:t>
      </w:r>
      <w:r w:rsidRPr="008F0D85">
        <w:rPr>
          <w:color w:val="44546A" w:themeColor="text2"/>
        </w:rPr>
        <w:t>landfill</w:t>
      </w:r>
      <w:r w:rsidR="00DC0B28">
        <w:rPr>
          <w:color w:val="44546A" w:themeColor="text2"/>
        </w:rPr>
        <w:t>,</w:t>
      </w:r>
      <w:r w:rsidRPr="008F0D85">
        <w:rPr>
          <w:color w:val="44546A" w:themeColor="text2"/>
        </w:rPr>
        <w:t xml:space="preserve"> incinerat</w:t>
      </w:r>
      <w:r w:rsidR="00E16A42">
        <w:rPr>
          <w:color w:val="44546A" w:themeColor="text2"/>
        </w:rPr>
        <w:t>ed</w:t>
      </w:r>
      <w:r w:rsidR="00DC0B28">
        <w:rPr>
          <w:color w:val="44546A" w:themeColor="text2"/>
        </w:rPr>
        <w:t xml:space="preserve"> or</w:t>
      </w:r>
      <w:r w:rsidRPr="008F0D85">
        <w:rPr>
          <w:color w:val="44546A" w:themeColor="text2"/>
        </w:rPr>
        <w:t xml:space="preserve"> </w:t>
      </w:r>
      <w:r w:rsidR="00DC0B28">
        <w:rPr>
          <w:color w:val="44546A" w:themeColor="text2"/>
        </w:rPr>
        <w:t xml:space="preserve">sent for </w:t>
      </w:r>
      <w:r w:rsidRPr="008F0D85">
        <w:rPr>
          <w:color w:val="44546A" w:themeColor="text2"/>
        </w:rPr>
        <w:t>recycl</w:t>
      </w:r>
      <w:r w:rsidR="00DC0B28">
        <w:rPr>
          <w:color w:val="44546A" w:themeColor="text2"/>
        </w:rPr>
        <w:t>ing/ reuse)</w:t>
      </w:r>
      <w:r w:rsidRPr="008F0D85">
        <w:rPr>
          <w:color w:val="44546A" w:themeColor="text2"/>
        </w:rPr>
        <w:t xml:space="preserve">. </w:t>
      </w:r>
    </w:p>
    <w:p w14:paraId="690513B6" w14:textId="77777777" w:rsidR="00203133" w:rsidRPr="008F0D85" w:rsidRDefault="00203133" w:rsidP="00A9699A">
      <w:pPr>
        <w:pStyle w:val="Heading4"/>
      </w:pPr>
      <w:r w:rsidRPr="008F0D85">
        <w:t>Calculation method</w:t>
      </w:r>
    </w:p>
    <w:p w14:paraId="5D42AFD3" w14:textId="77777777" w:rsidR="00DC0B28" w:rsidRDefault="00203133" w:rsidP="00A9699A">
      <w:pPr>
        <w:jc w:val="both"/>
        <w:rPr>
          <w:color w:val="44546A" w:themeColor="text2"/>
        </w:rPr>
      </w:pPr>
      <w:r w:rsidRPr="008F0D85">
        <w:rPr>
          <w:color w:val="44546A" w:themeColor="text2"/>
        </w:rPr>
        <w:t>A</w:t>
      </w:r>
      <w:r w:rsidR="00EA77CC">
        <w:rPr>
          <w:color w:val="44546A" w:themeColor="text2"/>
        </w:rPr>
        <w:t>n average</w:t>
      </w:r>
      <w:r w:rsidR="004B10FD">
        <w:rPr>
          <w:color w:val="44546A" w:themeColor="text2"/>
        </w:rPr>
        <w:t>-</w:t>
      </w:r>
      <w:r w:rsidR="00EA77CC">
        <w:rPr>
          <w:color w:val="44546A" w:themeColor="text2"/>
        </w:rPr>
        <w:t>data</w:t>
      </w:r>
      <w:r w:rsidRPr="008F0D85">
        <w:rPr>
          <w:color w:val="44546A" w:themeColor="text2"/>
        </w:rPr>
        <w:t xml:space="preserve"> method, as outlined by the Scope 3 Guidance</w:t>
      </w:r>
      <w:r w:rsidRPr="008F0D85">
        <w:rPr>
          <w:rStyle w:val="FootnoteReference"/>
          <w:color w:val="44546A" w:themeColor="text2"/>
        </w:rPr>
        <w:footnoteReference w:id="26"/>
      </w:r>
      <w:r w:rsidRPr="008F0D85">
        <w:rPr>
          <w:color w:val="44546A" w:themeColor="text2"/>
        </w:rPr>
        <w:t xml:space="preserve">, was employed. This </w:t>
      </w:r>
      <w:r w:rsidR="002E4F2E">
        <w:rPr>
          <w:color w:val="44546A" w:themeColor="text2"/>
        </w:rPr>
        <w:t>method utilises</w:t>
      </w:r>
      <w:r w:rsidRPr="008F0D85">
        <w:rPr>
          <w:color w:val="44546A" w:themeColor="text2"/>
        </w:rPr>
        <w:t xml:space="preserve"> emission factors tailored to distinct waste types and their corresponding treatment</w:t>
      </w:r>
      <w:r w:rsidR="00DC0B28">
        <w:rPr>
          <w:color w:val="44546A" w:themeColor="text2"/>
        </w:rPr>
        <w:t>/disposal</w:t>
      </w:r>
      <w:r w:rsidRPr="008F0D85">
        <w:rPr>
          <w:color w:val="44546A" w:themeColor="text2"/>
        </w:rPr>
        <w:t xml:space="preserve"> methods multiplied by tonnage of material. </w:t>
      </w:r>
    </w:p>
    <w:p w14:paraId="73A0B853" w14:textId="5ADDFADE" w:rsidR="008B5163" w:rsidRDefault="00203133" w:rsidP="00A9699A">
      <w:pPr>
        <w:jc w:val="both"/>
        <w:rPr>
          <w:color w:val="44546A" w:themeColor="text2"/>
        </w:rPr>
      </w:pPr>
      <w:r w:rsidRPr="008F0D85">
        <w:rPr>
          <w:color w:val="44546A" w:themeColor="text2"/>
        </w:rPr>
        <w:t xml:space="preserve">Each </w:t>
      </w:r>
      <w:r w:rsidR="002E4F2E">
        <w:rPr>
          <w:color w:val="44546A" w:themeColor="text2"/>
        </w:rPr>
        <w:t xml:space="preserve">waste type </w:t>
      </w:r>
      <w:r w:rsidR="00704739">
        <w:rPr>
          <w:color w:val="44546A" w:themeColor="text2"/>
        </w:rPr>
        <w:t xml:space="preserve">is assigned an </w:t>
      </w:r>
      <w:r w:rsidRPr="008F0D85">
        <w:rPr>
          <w:color w:val="44546A" w:themeColor="text2"/>
        </w:rPr>
        <w:t>emission factor aligned with its treatment</w:t>
      </w:r>
      <w:r w:rsidR="00DC0B28">
        <w:rPr>
          <w:color w:val="44546A" w:themeColor="text2"/>
        </w:rPr>
        <w:t>/disposal</w:t>
      </w:r>
      <w:r w:rsidRPr="008F0D85">
        <w:rPr>
          <w:color w:val="44546A" w:themeColor="text2"/>
        </w:rPr>
        <w:t xml:space="preserve"> </w:t>
      </w:r>
      <w:r w:rsidR="008B5163">
        <w:rPr>
          <w:color w:val="44546A" w:themeColor="text2"/>
        </w:rPr>
        <w:t>method</w:t>
      </w:r>
      <w:r w:rsidRPr="008F0D85">
        <w:rPr>
          <w:color w:val="44546A" w:themeColor="text2"/>
        </w:rPr>
        <w:t>. In instances where emission factors for certain treatments were unavailable, the landfill factor was applied, with results presented in k</w:t>
      </w:r>
      <w:r w:rsidR="00501B71">
        <w:rPr>
          <w:color w:val="44546A" w:themeColor="text2"/>
        </w:rPr>
        <w:t>il</w:t>
      </w:r>
      <w:r w:rsidR="00B66795">
        <w:rPr>
          <w:color w:val="44546A" w:themeColor="text2"/>
        </w:rPr>
        <w:t>ogramme</w:t>
      </w:r>
      <w:r w:rsidRPr="008F0D85">
        <w:rPr>
          <w:color w:val="44546A" w:themeColor="text2"/>
        </w:rPr>
        <w:t xml:space="preserve"> CO</w:t>
      </w:r>
      <w:r w:rsidRPr="008F0D85">
        <w:rPr>
          <w:color w:val="44546A" w:themeColor="text2"/>
          <w:vertAlign w:val="subscript"/>
        </w:rPr>
        <w:t>2</w:t>
      </w:r>
      <w:r w:rsidRPr="008F0D85">
        <w:rPr>
          <w:color w:val="44546A" w:themeColor="text2"/>
        </w:rPr>
        <w:t xml:space="preserve">e per tonne of material. </w:t>
      </w:r>
    </w:p>
    <w:p w14:paraId="5AE954DF" w14:textId="71876E55" w:rsidR="00203133" w:rsidRPr="00A9699A" w:rsidRDefault="00203133" w:rsidP="00A9699A">
      <w:pPr>
        <w:jc w:val="both"/>
        <w:rPr>
          <w:color w:val="44546A" w:themeColor="text2"/>
        </w:rPr>
      </w:pPr>
      <w:r w:rsidRPr="008F0D85">
        <w:rPr>
          <w:color w:val="44546A" w:themeColor="text2"/>
        </w:rPr>
        <w:t>Emission factors for landfills and incinerators draw from the UK government conversion factors</w:t>
      </w:r>
      <w:r w:rsidRPr="008F0D85">
        <w:rPr>
          <w:color w:val="44546A" w:themeColor="text2"/>
          <w:vertAlign w:val="superscript"/>
        </w:rPr>
        <w:t>1</w:t>
      </w:r>
      <w:r w:rsidRPr="008F0D85">
        <w:rPr>
          <w:color w:val="44546A" w:themeColor="text2"/>
        </w:rPr>
        <w:t xml:space="preserve">, a tool adopted by both UK-based and international entities for </w:t>
      </w:r>
      <w:r w:rsidR="00A14489">
        <w:rPr>
          <w:color w:val="44546A" w:themeColor="text2"/>
        </w:rPr>
        <w:t>GHG</w:t>
      </w:r>
      <w:r w:rsidRPr="008F0D85">
        <w:rPr>
          <w:color w:val="44546A" w:themeColor="text2"/>
        </w:rPr>
        <w:t xml:space="preserve"> emissions reporting. Conversely, recycling emission factors derive from studies on </w:t>
      </w:r>
      <w:r w:rsidR="00A14489">
        <w:rPr>
          <w:color w:val="44546A" w:themeColor="text2"/>
        </w:rPr>
        <w:t>GHG</w:t>
      </w:r>
      <w:r w:rsidRPr="008F0D85">
        <w:rPr>
          <w:color w:val="44546A" w:themeColor="text2"/>
        </w:rPr>
        <w:t xml:space="preserve"> emission factors for the recycling of source-segregated waste materials producing a similar output in k</w:t>
      </w:r>
      <w:r w:rsidR="00A14489">
        <w:rPr>
          <w:color w:val="44546A" w:themeColor="text2"/>
        </w:rPr>
        <w:t>ilo</w:t>
      </w:r>
      <w:r w:rsidRPr="008F0D85">
        <w:rPr>
          <w:color w:val="44546A" w:themeColor="text2"/>
        </w:rPr>
        <w:t>g</w:t>
      </w:r>
      <w:r w:rsidR="00A14489">
        <w:rPr>
          <w:color w:val="44546A" w:themeColor="text2"/>
        </w:rPr>
        <w:t>ramme</w:t>
      </w:r>
      <w:r w:rsidRPr="008F0D85">
        <w:rPr>
          <w:color w:val="44546A" w:themeColor="text2"/>
        </w:rPr>
        <w:t xml:space="preserve"> CO</w:t>
      </w:r>
      <w:r w:rsidRPr="008F0D85">
        <w:rPr>
          <w:color w:val="44546A" w:themeColor="text2"/>
          <w:vertAlign w:val="subscript"/>
        </w:rPr>
        <w:t>2</w:t>
      </w:r>
      <w:r w:rsidRPr="008F0D85">
        <w:rPr>
          <w:color w:val="44546A" w:themeColor="text2"/>
        </w:rPr>
        <w:t>e per tonne of material. It</w:t>
      </w:r>
      <w:r w:rsidR="0058211B">
        <w:rPr>
          <w:color w:val="44546A" w:themeColor="text2"/>
        </w:rPr>
        <w:t xml:space="preserve"> </w:t>
      </w:r>
      <w:r w:rsidR="0058211B">
        <w:rPr>
          <w:color w:val="44546A" w:themeColor="text2"/>
        </w:rPr>
        <w:lastRenderedPageBreak/>
        <w:t>i</w:t>
      </w:r>
      <w:r w:rsidRPr="008F0D85">
        <w:rPr>
          <w:color w:val="44546A" w:themeColor="text2"/>
        </w:rPr>
        <w:t xml:space="preserve">s essential to acknowledge that this reference also offers net emission values in terms of emissions mitigated by reuse, yielding a negative emission output. </w:t>
      </w:r>
    </w:p>
    <w:p w14:paraId="01A3397E" w14:textId="77777777" w:rsidR="00623A5D" w:rsidRPr="008F0D85" w:rsidRDefault="00623A5D" w:rsidP="00A9699A">
      <w:pPr>
        <w:pStyle w:val="Heading4"/>
      </w:pPr>
      <w:r w:rsidRPr="008F0D85">
        <w:t>Assumptions</w:t>
      </w:r>
    </w:p>
    <w:p w14:paraId="7B3DE5B9" w14:textId="0DC67C2A" w:rsidR="00975E16" w:rsidRPr="008F0D85" w:rsidRDefault="00975E16" w:rsidP="0072354B">
      <w:pPr>
        <w:jc w:val="both"/>
        <w:rPr>
          <w:color w:val="44546A" w:themeColor="text2"/>
        </w:rPr>
      </w:pPr>
      <w:r w:rsidRPr="008F0D85">
        <w:rPr>
          <w:color w:val="44546A" w:themeColor="text2"/>
        </w:rPr>
        <w:t>It was assumed that all materials and respective quantities were hauled off</w:t>
      </w:r>
      <w:r w:rsidR="00A14489">
        <w:rPr>
          <w:color w:val="44546A" w:themeColor="text2"/>
        </w:rPr>
        <w:t>-</w:t>
      </w:r>
      <w:r w:rsidRPr="008F0D85">
        <w:rPr>
          <w:color w:val="44546A" w:themeColor="text2"/>
        </w:rPr>
        <w:t xml:space="preserve">site and treated in facilities not owned or controlled by the company. Bulk </w:t>
      </w:r>
      <w:r w:rsidR="003757C0">
        <w:rPr>
          <w:color w:val="44546A" w:themeColor="text2"/>
        </w:rPr>
        <w:t>mineral waste</w:t>
      </w:r>
      <w:r w:rsidRPr="008F0D85">
        <w:rPr>
          <w:color w:val="44546A" w:themeColor="text2"/>
        </w:rPr>
        <w:t xml:space="preserve"> </w:t>
      </w:r>
      <w:r w:rsidR="008B5163">
        <w:rPr>
          <w:color w:val="44546A" w:themeColor="text2"/>
        </w:rPr>
        <w:t>excluded</w:t>
      </w:r>
      <w:r w:rsidRPr="008F0D85">
        <w:rPr>
          <w:color w:val="44546A" w:themeColor="text2"/>
        </w:rPr>
        <w:t>, on the basis</w:t>
      </w:r>
      <w:r w:rsidR="00E810EE">
        <w:rPr>
          <w:color w:val="44546A" w:themeColor="text2"/>
        </w:rPr>
        <w:t xml:space="preserve"> that it is disposed</w:t>
      </w:r>
      <w:r w:rsidR="000125CE">
        <w:rPr>
          <w:color w:val="44546A" w:themeColor="text2"/>
        </w:rPr>
        <w:t xml:space="preserve"> of</w:t>
      </w:r>
      <w:r w:rsidR="00E810EE">
        <w:rPr>
          <w:color w:val="44546A" w:themeColor="text2"/>
        </w:rPr>
        <w:t xml:space="preserve"> </w:t>
      </w:r>
      <w:r w:rsidR="000125CE">
        <w:rPr>
          <w:color w:val="44546A" w:themeColor="text2"/>
        </w:rPr>
        <w:t>on-site</w:t>
      </w:r>
      <w:r w:rsidR="000553A3">
        <w:rPr>
          <w:color w:val="44546A" w:themeColor="text2"/>
        </w:rPr>
        <w:t>.</w:t>
      </w:r>
      <w:r w:rsidRPr="008F0D85">
        <w:rPr>
          <w:color w:val="44546A" w:themeColor="text2"/>
        </w:rPr>
        <w:t xml:space="preserve"> </w:t>
      </w:r>
    </w:p>
    <w:p w14:paraId="39047F7A" w14:textId="1296191F" w:rsidR="000553A3" w:rsidRDefault="00975E16" w:rsidP="00A9699A">
      <w:pPr>
        <w:jc w:val="both"/>
        <w:rPr>
          <w:color w:val="44546A" w:themeColor="text2"/>
        </w:rPr>
      </w:pPr>
      <w:r w:rsidRPr="008F0D85">
        <w:rPr>
          <w:color w:val="44546A" w:themeColor="text2"/>
        </w:rPr>
        <w:t>Distances to the various waste treatment site</w:t>
      </w:r>
      <w:r w:rsidR="00764F1D">
        <w:rPr>
          <w:color w:val="44546A" w:themeColor="text2"/>
        </w:rPr>
        <w:t>s</w:t>
      </w:r>
      <w:r w:rsidRPr="008F0D85">
        <w:rPr>
          <w:color w:val="44546A" w:themeColor="text2"/>
        </w:rPr>
        <w:t xml:space="preserve"> were </w:t>
      </w:r>
      <w:r w:rsidR="00764F1D" w:rsidRPr="008F0D85">
        <w:rPr>
          <w:color w:val="44546A" w:themeColor="text2"/>
        </w:rPr>
        <w:t>combined</w:t>
      </w:r>
      <w:r w:rsidRPr="008F0D85">
        <w:rPr>
          <w:color w:val="44546A" w:themeColor="text2"/>
        </w:rPr>
        <w:t xml:space="preserve"> for each operation and multiplied by a goods freighting emission </w:t>
      </w:r>
      <w:proofErr w:type="gramStart"/>
      <w:r w:rsidRPr="008F0D85">
        <w:rPr>
          <w:color w:val="44546A" w:themeColor="text2"/>
        </w:rPr>
        <w:t>factor,</w:t>
      </w:r>
      <w:proofErr w:type="gramEnd"/>
      <w:r w:rsidRPr="008F0D85">
        <w:rPr>
          <w:color w:val="44546A" w:themeColor="text2"/>
        </w:rPr>
        <w:t xml:space="preserve"> </w:t>
      </w:r>
      <w:r w:rsidR="000553A3">
        <w:rPr>
          <w:color w:val="44546A" w:themeColor="text2"/>
        </w:rPr>
        <w:t>therefore</w:t>
      </w:r>
      <w:r w:rsidRPr="008F0D85">
        <w:rPr>
          <w:color w:val="44546A" w:themeColor="text2"/>
        </w:rPr>
        <w:t xml:space="preserve"> the emissions are based on aggregated transportation estimates. </w:t>
      </w:r>
    </w:p>
    <w:p w14:paraId="77784092" w14:textId="16A3317E" w:rsidR="0072354B" w:rsidRPr="008F0D85" w:rsidRDefault="00975E16" w:rsidP="00A9699A">
      <w:pPr>
        <w:jc w:val="both"/>
        <w:rPr>
          <w:color w:val="44546A" w:themeColor="text2"/>
          <w:sz w:val="23"/>
          <w:szCs w:val="23"/>
        </w:rPr>
      </w:pPr>
      <w:r w:rsidRPr="008F0D85">
        <w:rPr>
          <w:color w:val="44546A" w:themeColor="text2"/>
        </w:rPr>
        <w:t xml:space="preserve">It was assumed that </w:t>
      </w:r>
      <w:r w:rsidR="000553A3">
        <w:rPr>
          <w:color w:val="44546A" w:themeColor="text2"/>
        </w:rPr>
        <w:t>all</w:t>
      </w:r>
      <w:r w:rsidRPr="008F0D85">
        <w:rPr>
          <w:color w:val="44546A" w:themeColor="text2"/>
        </w:rPr>
        <w:t xml:space="preserve"> waste was transported </w:t>
      </w:r>
      <w:r w:rsidR="000553A3">
        <w:rPr>
          <w:color w:val="44546A" w:themeColor="text2"/>
        </w:rPr>
        <w:t>using a</w:t>
      </w:r>
      <w:r w:rsidRPr="008F0D85">
        <w:rPr>
          <w:color w:val="44546A" w:themeColor="text2"/>
        </w:rPr>
        <w:t xml:space="preserve"> heavy goods vehicle.</w:t>
      </w:r>
      <w:r w:rsidRPr="008F0D85">
        <w:rPr>
          <w:color w:val="44546A" w:themeColor="text2"/>
          <w:sz w:val="23"/>
          <w:szCs w:val="23"/>
        </w:rPr>
        <w:t xml:space="preserve"> </w:t>
      </w:r>
    </w:p>
    <w:p w14:paraId="7778FCE8" w14:textId="77777777" w:rsidR="00163D18" w:rsidRPr="008F0D85" w:rsidRDefault="00163D18" w:rsidP="00A9699A">
      <w:pPr>
        <w:pStyle w:val="Heading4"/>
      </w:pPr>
      <w:r w:rsidRPr="008F0D85">
        <w:t>Inclusion and exclusion</w:t>
      </w:r>
    </w:p>
    <w:p w14:paraId="3C478034" w14:textId="16A02317" w:rsidR="00C75A63" w:rsidRPr="008F0D85" w:rsidRDefault="005F125E" w:rsidP="00A7106C">
      <w:pPr>
        <w:jc w:val="both"/>
        <w:rPr>
          <w:color w:val="44546A" w:themeColor="text2"/>
          <w:sz w:val="23"/>
          <w:szCs w:val="23"/>
        </w:rPr>
      </w:pPr>
      <w:r w:rsidRPr="008F0D85">
        <w:rPr>
          <w:color w:val="44546A" w:themeColor="text2"/>
          <w:lang w:val="en-CA"/>
        </w:rPr>
        <w:t>Waste</w:t>
      </w:r>
      <w:r w:rsidR="00F0762A">
        <w:rPr>
          <w:color w:val="44546A" w:themeColor="text2"/>
          <w:lang w:val="en-CA"/>
        </w:rPr>
        <w:t xml:space="preserve"> analysis includes</w:t>
      </w:r>
      <w:r w:rsidRPr="008F0D85">
        <w:rPr>
          <w:color w:val="44546A" w:themeColor="text2"/>
          <w:lang w:val="en-CA"/>
        </w:rPr>
        <w:t xml:space="preserve"> common recyclables </w:t>
      </w:r>
      <w:r w:rsidR="00F0762A">
        <w:rPr>
          <w:color w:val="44546A" w:themeColor="text2"/>
          <w:lang w:val="en-CA"/>
        </w:rPr>
        <w:t>such as</w:t>
      </w:r>
      <w:r w:rsidRPr="008F0D85">
        <w:rPr>
          <w:color w:val="44546A" w:themeColor="text2"/>
          <w:lang w:val="en-CA"/>
        </w:rPr>
        <w:t xml:space="preserve"> mixed paper, mixed plastic, metals, wood, and tires</w:t>
      </w:r>
      <w:r w:rsidR="00F0762A">
        <w:rPr>
          <w:color w:val="44546A" w:themeColor="text2"/>
          <w:lang w:val="en-CA"/>
        </w:rPr>
        <w:t>,</w:t>
      </w:r>
      <w:r w:rsidRPr="008F0D85">
        <w:rPr>
          <w:color w:val="44546A" w:themeColor="text2"/>
          <w:lang w:val="en-CA"/>
        </w:rPr>
        <w:t xml:space="preserve"> as well as unique off</w:t>
      </w:r>
      <w:r w:rsidR="00764F1D">
        <w:rPr>
          <w:color w:val="44546A" w:themeColor="text2"/>
          <w:lang w:val="en-CA"/>
        </w:rPr>
        <w:t>-</w:t>
      </w:r>
      <w:r w:rsidRPr="008F0D85">
        <w:rPr>
          <w:color w:val="44546A" w:themeColor="text2"/>
          <w:lang w:val="en-CA"/>
        </w:rPr>
        <w:t>site preparations for reuse</w:t>
      </w:r>
      <w:r w:rsidR="00F0762A">
        <w:rPr>
          <w:color w:val="44546A" w:themeColor="text2"/>
          <w:lang w:val="en-CA"/>
        </w:rPr>
        <w:t>. A</w:t>
      </w:r>
      <w:r w:rsidRPr="008F0D85">
        <w:rPr>
          <w:color w:val="44546A" w:themeColor="text2"/>
          <w:lang w:val="en-CA"/>
        </w:rPr>
        <w:t>dditional items such as oil-based lubricants, light bulbs, car batteries, keck,</w:t>
      </w:r>
      <w:r w:rsidR="003757C0">
        <w:rPr>
          <w:color w:val="44546A" w:themeColor="text2"/>
          <w:lang w:val="en-CA"/>
        </w:rPr>
        <w:t xml:space="preserve"> g</w:t>
      </w:r>
      <w:r w:rsidRPr="008F0D85">
        <w:rPr>
          <w:color w:val="44546A" w:themeColor="text2"/>
          <w:lang w:val="en-CA"/>
        </w:rPr>
        <w:t xml:space="preserve">eomembrane, and office furniture were </w:t>
      </w:r>
      <w:r w:rsidR="008D56AA">
        <w:rPr>
          <w:color w:val="44546A" w:themeColor="text2"/>
          <w:lang w:val="en-CA"/>
        </w:rPr>
        <w:t>also</w:t>
      </w:r>
      <w:r w:rsidR="00D72291">
        <w:rPr>
          <w:color w:val="44546A" w:themeColor="text2"/>
          <w:lang w:val="en-CA"/>
        </w:rPr>
        <w:t xml:space="preserve"> included.</w:t>
      </w:r>
      <w:r w:rsidRPr="008F0D85">
        <w:rPr>
          <w:color w:val="44546A" w:themeColor="text2"/>
          <w:lang w:val="en-CA"/>
        </w:rPr>
        <w:t xml:space="preserve"> </w:t>
      </w:r>
    </w:p>
    <w:p w14:paraId="5F0CCE21" w14:textId="77777777" w:rsidR="00C75A63" w:rsidRDefault="00C75A63" w:rsidP="00975E16">
      <w:pPr>
        <w:rPr>
          <w:sz w:val="23"/>
          <w:szCs w:val="23"/>
        </w:rPr>
      </w:pPr>
    </w:p>
    <w:p w14:paraId="4B04520D" w14:textId="77777777" w:rsidR="00C75A63" w:rsidRDefault="00C75A63" w:rsidP="00975E16">
      <w:pPr>
        <w:rPr>
          <w:sz w:val="23"/>
          <w:szCs w:val="23"/>
        </w:rPr>
      </w:pPr>
    </w:p>
    <w:p w14:paraId="42FAF063" w14:textId="77777777" w:rsidR="00C75A63" w:rsidRDefault="00C75A63" w:rsidP="00975E16">
      <w:pPr>
        <w:rPr>
          <w:sz w:val="23"/>
          <w:szCs w:val="23"/>
        </w:rPr>
      </w:pPr>
    </w:p>
    <w:p w14:paraId="6D31E7AD" w14:textId="77777777" w:rsidR="00C75A63" w:rsidRDefault="00C75A63" w:rsidP="00975E16">
      <w:pPr>
        <w:rPr>
          <w:sz w:val="23"/>
          <w:szCs w:val="23"/>
        </w:rPr>
      </w:pPr>
    </w:p>
    <w:p w14:paraId="298DB9C1" w14:textId="77777777" w:rsidR="00C75A63" w:rsidRDefault="00C75A63" w:rsidP="00975E16">
      <w:pPr>
        <w:rPr>
          <w:sz w:val="23"/>
          <w:szCs w:val="23"/>
        </w:rPr>
      </w:pPr>
    </w:p>
    <w:p w14:paraId="0DA09EF5" w14:textId="77777777" w:rsidR="00C75A63" w:rsidRDefault="00C75A63" w:rsidP="00975E16">
      <w:pPr>
        <w:rPr>
          <w:sz w:val="23"/>
          <w:szCs w:val="23"/>
        </w:rPr>
      </w:pPr>
    </w:p>
    <w:p w14:paraId="7C82457D" w14:textId="77777777" w:rsidR="00C75A63" w:rsidRDefault="00C75A63" w:rsidP="00975E16">
      <w:pPr>
        <w:rPr>
          <w:sz w:val="23"/>
          <w:szCs w:val="23"/>
        </w:rPr>
      </w:pPr>
    </w:p>
    <w:p w14:paraId="1D9A98E5" w14:textId="0C7A1C33" w:rsidR="00A9699A" w:rsidRDefault="00A9699A">
      <w:pPr>
        <w:rPr>
          <w:sz w:val="23"/>
          <w:szCs w:val="23"/>
        </w:rPr>
      </w:pPr>
      <w:r>
        <w:rPr>
          <w:sz w:val="23"/>
          <w:szCs w:val="23"/>
        </w:rPr>
        <w:br w:type="page"/>
      </w:r>
    </w:p>
    <w:p w14:paraId="09820A8D" w14:textId="6860CE2C" w:rsidR="00C75A63" w:rsidRPr="008F0D85" w:rsidRDefault="00C75A63" w:rsidP="00A9699A">
      <w:pPr>
        <w:pStyle w:val="Heading3"/>
      </w:pPr>
      <w:bookmarkStart w:id="20" w:name="_Toc194670375"/>
      <w:r w:rsidRPr="008F0D85">
        <w:lastRenderedPageBreak/>
        <w:t>Category 6 – Business travel</w:t>
      </w:r>
      <w:bookmarkEnd w:id="20"/>
      <w:r w:rsidRPr="008F0D85">
        <w:t xml:space="preserve"> </w:t>
      </w:r>
    </w:p>
    <w:tbl>
      <w:tblPr>
        <w:tblStyle w:val="GridTable5Dark-Accent2"/>
        <w:tblpPr w:leftFromText="180" w:rightFromText="180" w:vertAnchor="page" w:horzAnchor="margin" w:tblpY="2026"/>
        <w:tblW w:w="9067" w:type="dxa"/>
        <w:tblLook w:val="04A0" w:firstRow="1" w:lastRow="0" w:firstColumn="1" w:lastColumn="0" w:noHBand="0" w:noVBand="1"/>
      </w:tblPr>
      <w:tblGrid>
        <w:gridCol w:w="2547"/>
        <w:gridCol w:w="6520"/>
      </w:tblGrid>
      <w:tr w:rsidR="00A9699A" w:rsidRPr="00B43CF5" w14:paraId="6C14276B" w14:textId="77777777" w:rsidTr="00A9699A">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3E5C60"/>
          </w:tcPr>
          <w:p w14:paraId="1DFC1DE9" w14:textId="77777777" w:rsidR="00A9699A" w:rsidRPr="00B43CF5" w:rsidRDefault="00A9699A" w:rsidP="00A9699A">
            <w:pPr>
              <w:jc w:val="both"/>
            </w:pPr>
            <w:r w:rsidRPr="00B43CF5">
              <w:br w:type="page"/>
              <w:t xml:space="preserve">Category 6 </w:t>
            </w:r>
          </w:p>
        </w:tc>
      </w:tr>
      <w:tr w:rsidR="00A9699A" w:rsidRPr="00B43CF5" w14:paraId="4AF5E943" w14:textId="77777777" w:rsidTr="00A9699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5C39216A" w14:textId="77777777" w:rsidR="00A9699A" w:rsidRPr="00B43CF5" w:rsidRDefault="00A9699A" w:rsidP="00A9699A">
            <w:r w:rsidRPr="00B43CF5">
              <w:t>Description</w:t>
            </w:r>
          </w:p>
        </w:tc>
        <w:tc>
          <w:tcPr>
            <w:tcW w:w="6520" w:type="dxa"/>
            <w:shd w:val="clear" w:color="auto" w:fill="C3D5D7"/>
          </w:tcPr>
          <w:p w14:paraId="16C3CEEE" w14:textId="2B580013" w:rsidR="00A9699A" w:rsidRPr="00B030ED" w:rsidRDefault="00A9699A" w:rsidP="00A9699A">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B030ED">
              <w:rPr>
                <w:color w:val="44546A" w:themeColor="text2"/>
              </w:rPr>
              <w:t>Emissions from the transportation of employees for business-related activities during the reporting year in vehicles not owned or operated by CAML</w:t>
            </w:r>
            <w:r w:rsidR="00903DB6">
              <w:rPr>
                <w:color w:val="44546A" w:themeColor="text2"/>
              </w:rPr>
              <w:t>.</w:t>
            </w:r>
          </w:p>
          <w:p w14:paraId="70E637C1" w14:textId="77777777" w:rsidR="00A9699A" w:rsidRPr="00B030ED" w:rsidRDefault="00A9699A" w:rsidP="00A9699A">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A9699A" w:rsidRPr="00B43CF5" w14:paraId="1D69EEA0" w14:textId="77777777" w:rsidTr="00A9699A">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57029CCF" w14:textId="77777777" w:rsidR="00A9699A" w:rsidRPr="00B43CF5" w:rsidRDefault="00A9699A" w:rsidP="00A9699A">
            <w:r w:rsidRPr="00116471">
              <w:t>Emissions (</w:t>
            </w:r>
            <w:r w:rsidRPr="00334C8F">
              <w:rPr>
                <w:rFonts w:eastAsia="Times New Roman"/>
              </w:rPr>
              <w:t>tCO</w:t>
            </w:r>
            <w:r w:rsidRPr="00334C8F">
              <w:rPr>
                <w:rFonts w:eastAsia="Times New Roman"/>
                <w:vertAlign w:val="subscript"/>
              </w:rPr>
              <w:t>2</w:t>
            </w:r>
            <w:r w:rsidRPr="00334C8F">
              <w:rPr>
                <w:rFonts w:eastAsia="Times New Roman"/>
              </w:rPr>
              <w:t>e)</w:t>
            </w:r>
          </w:p>
        </w:tc>
        <w:tc>
          <w:tcPr>
            <w:tcW w:w="6520" w:type="dxa"/>
            <w:shd w:val="clear" w:color="auto" w:fill="E1EAEB"/>
          </w:tcPr>
          <w:p w14:paraId="1A469981" w14:textId="07238172" w:rsidR="00A9699A" w:rsidRPr="00B030ED" w:rsidRDefault="00A9699A" w:rsidP="00A9699A">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82151F">
              <w:rPr>
                <w:color w:val="44546A" w:themeColor="text2"/>
              </w:rPr>
              <w:t>2</w:t>
            </w:r>
            <w:r w:rsidR="00D01EB1" w:rsidRPr="0082151F">
              <w:rPr>
                <w:color w:val="44546A" w:themeColor="text2"/>
              </w:rPr>
              <w:t>9</w:t>
            </w:r>
            <w:r w:rsidR="00AC361B">
              <w:rPr>
                <w:color w:val="44546A" w:themeColor="text2"/>
              </w:rPr>
              <w:t>2</w:t>
            </w:r>
            <w:r w:rsidRPr="0082151F">
              <w:rPr>
                <w:color w:val="44546A" w:themeColor="text2"/>
              </w:rPr>
              <w:t xml:space="preserve"> (202</w:t>
            </w:r>
            <w:r w:rsidR="00D01EB1" w:rsidRPr="00DA35A0">
              <w:rPr>
                <w:color w:val="44546A" w:themeColor="text2"/>
              </w:rPr>
              <w:t>3</w:t>
            </w:r>
            <w:r w:rsidRPr="0082151F">
              <w:rPr>
                <w:color w:val="44546A" w:themeColor="text2"/>
              </w:rPr>
              <w:t>: 2</w:t>
            </w:r>
            <w:r w:rsidR="001070C6" w:rsidRPr="0082151F">
              <w:rPr>
                <w:color w:val="44546A" w:themeColor="text2"/>
              </w:rPr>
              <w:t>81</w:t>
            </w:r>
            <w:r w:rsidRPr="0082151F">
              <w:rPr>
                <w:color w:val="44546A" w:themeColor="text2"/>
              </w:rPr>
              <w:t>)</w:t>
            </w:r>
          </w:p>
          <w:p w14:paraId="217B9759" w14:textId="77777777" w:rsidR="00A9699A" w:rsidRPr="00B030ED" w:rsidRDefault="00A9699A" w:rsidP="00A9699A">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A9699A" w:rsidRPr="00B43CF5" w14:paraId="7C730962" w14:textId="77777777" w:rsidTr="00A9699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03F439EF" w14:textId="3EC2ED69" w:rsidR="00A9699A" w:rsidRPr="00B43CF5" w:rsidRDefault="00A9699A" w:rsidP="00A9699A">
            <w:r w:rsidRPr="00B43CF5">
              <w:t>Calculation</w:t>
            </w:r>
            <w:r w:rsidR="00C146F2">
              <w:t xml:space="preserve"> method</w:t>
            </w:r>
          </w:p>
        </w:tc>
        <w:tc>
          <w:tcPr>
            <w:tcW w:w="6520" w:type="dxa"/>
            <w:shd w:val="clear" w:color="auto" w:fill="C3D5D7"/>
          </w:tcPr>
          <w:p w14:paraId="4B5F3614" w14:textId="33D893A8" w:rsidR="00A9699A" w:rsidRPr="00B030ED" w:rsidRDefault="00A9699A" w:rsidP="00A9699A">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B030ED">
              <w:rPr>
                <w:color w:val="44546A" w:themeColor="text2"/>
              </w:rPr>
              <w:t>Flight and taxi journeys - Distance-based approach</w:t>
            </w:r>
          </w:p>
          <w:p w14:paraId="1EAA7635" w14:textId="30E0AE55" w:rsidR="00A9699A" w:rsidRPr="00B030ED" w:rsidRDefault="00A9699A" w:rsidP="00A9699A">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B030ED">
              <w:rPr>
                <w:color w:val="44546A" w:themeColor="text2"/>
              </w:rPr>
              <w:t xml:space="preserve">Hotel </w:t>
            </w:r>
            <w:r w:rsidR="0058211B">
              <w:rPr>
                <w:color w:val="44546A" w:themeColor="text2"/>
              </w:rPr>
              <w:t>accommodation</w:t>
            </w:r>
            <w:r w:rsidRPr="00B030ED">
              <w:rPr>
                <w:color w:val="44546A" w:themeColor="text2"/>
              </w:rPr>
              <w:t xml:space="preserve"> – Location-based approach</w:t>
            </w:r>
          </w:p>
          <w:p w14:paraId="0C859A09" w14:textId="77777777" w:rsidR="00A9699A" w:rsidRPr="00B030ED" w:rsidRDefault="00A9699A" w:rsidP="00A9699A">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A9699A" w:rsidRPr="00B43CF5" w14:paraId="4B4C9807" w14:textId="77777777" w:rsidTr="00A9699A">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643BE4B1" w14:textId="77777777" w:rsidR="00A9699A" w:rsidRPr="00B43CF5" w:rsidRDefault="00A9699A" w:rsidP="00A9699A">
            <w:r w:rsidRPr="00B43CF5">
              <w:t>Activity data source</w:t>
            </w:r>
          </w:p>
        </w:tc>
        <w:tc>
          <w:tcPr>
            <w:tcW w:w="6520" w:type="dxa"/>
            <w:shd w:val="clear" w:color="auto" w:fill="E1EAEB"/>
          </w:tcPr>
          <w:p w14:paraId="68C15050" w14:textId="735683CD" w:rsidR="00A9699A" w:rsidRPr="00B030ED" w:rsidRDefault="00A9699A" w:rsidP="00A9699A">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B030ED">
              <w:rPr>
                <w:color w:val="44546A" w:themeColor="text2"/>
              </w:rPr>
              <w:t>The activity data provided by our corporate travel service provider includes details o</w:t>
            </w:r>
            <w:r w:rsidR="0057591E">
              <w:rPr>
                <w:color w:val="44546A" w:themeColor="text2"/>
              </w:rPr>
              <w:t>f</w:t>
            </w:r>
            <w:r w:rsidRPr="00B030ED">
              <w:rPr>
                <w:color w:val="44546A" w:themeColor="text2"/>
              </w:rPr>
              <w:t xml:space="preserve"> flight</w:t>
            </w:r>
            <w:r w:rsidR="0057591E">
              <w:rPr>
                <w:color w:val="44546A" w:themeColor="text2"/>
              </w:rPr>
              <w:t>s</w:t>
            </w:r>
            <w:r w:rsidR="00BD4D00">
              <w:rPr>
                <w:color w:val="44546A" w:themeColor="text2"/>
              </w:rPr>
              <w:t xml:space="preserve"> taken</w:t>
            </w:r>
            <w:r w:rsidRPr="00B030ED">
              <w:rPr>
                <w:color w:val="44546A" w:themeColor="text2"/>
              </w:rPr>
              <w:t>, distances</w:t>
            </w:r>
            <w:r w:rsidR="00BD4D00">
              <w:rPr>
                <w:color w:val="44546A" w:themeColor="text2"/>
              </w:rPr>
              <w:t xml:space="preserve"> travelled</w:t>
            </w:r>
            <w:r w:rsidRPr="00B030ED">
              <w:rPr>
                <w:color w:val="44546A" w:themeColor="text2"/>
              </w:rPr>
              <w:t xml:space="preserve"> and car rental days</w:t>
            </w:r>
            <w:r w:rsidR="00903DB6">
              <w:rPr>
                <w:color w:val="44546A" w:themeColor="text2"/>
              </w:rPr>
              <w:t>.</w:t>
            </w:r>
          </w:p>
          <w:p w14:paraId="5B32EA1F" w14:textId="77777777" w:rsidR="00A9699A" w:rsidRPr="00B030ED" w:rsidRDefault="00A9699A" w:rsidP="00A9699A">
            <w:pPr>
              <w:jc w:val="both"/>
              <w:cnfStyle w:val="000000000000" w:firstRow="0" w:lastRow="0" w:firstColumn="0" w:lastColumn="0" w:oddVBand="0" w:evenVBand="0" w:oddHBand="0" w:evenHBand="0" w:firstRowFirstColumn="0" w:firstRowLastColumn="0" w:lastRowFirstColumn="0" w:lastRowLastColumn="0"/>
              <w:rPr>
                <w:color w:val="44546A" w:themeColor="text2"/>
                <w:highlight w:val="yellow"/>
              </w:rPr>
            </w:pPr>
          </w:p>
        </w:tc>
      </w:tr>
      <w:tr w:rsidR="00A9699A" w:rsidRPr="00B43CF5" w14:paraId="6E3C99D6" w14:textId="77777777" w:rsidTr="00A9699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54712C8B" w14:textId="77777777" w:rsidR="00A9699A" w:rsidRPr="00B43CF5" w:rsidRDefault="00A9699A" w:rsidP="00A9699A">
            <w:r w:rsidRPr="00B43CF5">
              <w:t>Emissions data source</w:t>
            </w:r>
          </w:p>
        </w:tc>
        <w:tc>
          <w:tcPr>
            <w:tcW w:w="6520" w:type="dxa"/>
            <w:shd w:val="clear" w:color="auto" w:fill="C3D5D7"/>
          </w:tcPr>
          <w:p w14:paraId="14C6AED5" w14:textId="3E651355" w:rsidR="00A9699A" w:rsidRPr="00B030ED" w:rsidRDefault="00A9699A" w:rsidP="00A9699A">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B030ED">
              <w:rPr>
                <w:color w:val="44546A" w:themeColor="text2"/>
              </w:rPr>
              <w:t xml:space="preserve">Emissions calculated using industry average emissions factors applied based on flight distance:  short, </w:t>
            </w:r>
            <w:r w:rsidR="00D56122" w:rsidRPr="00B030ED">
              <w:rPr>
                <w:color w:val="44546A" w:themeColor="text2"/>
              </w:rPr>
              <w:t>medium,</w:t>
            </w:r>
            <w:r w:rsidRPr="00B030ED">
              <w:rPr>
                <w:color w:val="44546A" w:themeColor="text2"/>
              </w:rPr>
              <w:t xml:space="preserve"> or long-haul</w:t>
            </w:r>
            <w:r w:rsidR="00903DB6">
              <w:rPr>
                <w:color w:val="44546A" w:themeColor="text2"/>
              </w:rPr>
              <w:t>.</w:t>
            </w:r>
          </w:p>
          <w:p w14:paraId="252DEF28" w14:textId="77777777" w:rsidR="00A9699A" w:rsidRPr="00B030ED" w:rsidRDefault="00A9699A" w:rsidP="00A9699A">
            <w:pPr>
              <w:jc w:val="both"/>
              <w:cnfStyle w:val="000000100000" w:firstRow="0" w:lastRow="0" w:firstColumn="0" w:lastColumn="0" w:oddVBand="0" w:evenVBand="0" w:oddHBand="1" w:evenHBand="0" w:firstRowFirstColumn="0" w:firstRowLastColumn="0" w:lastRowFirstColumn="0" w:lastRowLastColumn="0"/>
              <w:rPr>
                <w:color w:val="44546A" w:themeColor="text2"/>
                <w:highlight w:val="yellow"/>
              </w:rPr>
            </w:pPr>
          </w:p>
        </w:tc>
      </w:tr>
    </w:tbl>
    <w:p w14:paraId="10FDA794" w14:textId="77777777" w:rsidR="000551C7" w:rsidRPr="00B43CF5" w:rsidRDefault="000551C7" w:rsidP="00E325F9">
      <w:pPr>
        <w:jc w:val="both"/>
        <w:rPr>
          <w:b/>
          <w:bCs/>
          <w:u w:val="single"/>
        </w:rPr>
      </w:pPr>
    </w:p>
    <w:p w14:paraId="43BEFB2A" w14:textId="77777777" w:rsidR="00A9699A" w:rsidRDefault="00A9699A" w:rsidP="00A9699A">
      <w:pPr>
        <w:pStyle w:val="Heading4"/>
      </w:pPr>
    </w:p>
    <w:p w14:paraId="4619BCCB" w14:textId="5187045B" w:rsidR="00623A5D" w:rsidRPr="008F0D85" w:rsidRDefault="00623A5D" w:rsidP="00A9699A">
      <w:pPr>
        <w:pStyle w:val="Heading4"/>
      </w:pPr>
      <w:r w:rsidRPr="008F0D85">
        <w:t>Boundaries</w:t>
      </w:r>
    </w:p>
    <w:p w14:paraId="0C13A221" w14:textId="7C2BA482" w:rsidR="00D1561F" w:rsidRPr="008F0D85" w:rsidRDefault="003F3FFD" w:rsidP="00A9699A">
      <w:pPr>
        <w:jc w:val="both"/>
        <w:rPr>
          <w:color w:val="44546A" w:themeColor="text2"/>
        </w:rPr>
      </w:pPr>
      <w:r w:rsidRPr="008F0D85">
        <w:rPr>
          <w:color w:val="44546A" w:themeColor="text2"/>
        </w:rPr>
        <w:t>This category covers emissions from all domestic and international flights undertaken by employees for business travel purposes, as well as other purchased business travel services (taxis</w:t>
      </w:r>
      <w:r w:rsidR="009D14BA" w:rsidRPr="008F0D85">
        <w:rPr>
          <w:color w:val="44546A" w:themeColor="text2"/>
        </w:rPr>
        <w:t>, hotels</w:t>
      </w:r>
      <w:r w:rsidRPr="008F0D85">
        <w:rPr>
          <w:color w:val="44546A" w:themeColor="text2"/>
        </w:rPr>
        <w:t xml:space="preserve"> and car rental</w:t>
      </w:r>
      <w:r w:rsidR="00FE5770">
        <w:rPr>
          <w:color w:val="44546A" w:themeColor="text2"/>
        </w:rPr>
        <w:t>s</w:t>
      </w:r>
      <w:r w:rsidRPr="008F0D85">
        <w:rPr>
          <w:color w:val="44546A" w:themeColor="text2"/>
        </w:rPr>
        <w:t>) identified from annual spend data.</w:t>
      </w:r>
      <w:r w:rsidR="00205FED" w:rsidRPr="008F0D85">
        <w:rPr>
          <w:color w:val="44546A" w:themeColor="text2"/>
        </w:rPr>
        <w:t xml:space="preserve"> </w:t>
      </w:r>
      <w:r w:rsidR="00FE5770">
        <w:rPr>
          <w:color w:val="44546A" w:themeColor="text2"/>
        </w:rPr>
        <w:t>Although t</w:t>
      </w:r>
      <w:r w:rsidR="00205FED" w:rsidRPr="008F0D85">
        <w:rPr>
          <w:color w:val="44546A" w:themeColor="text2"/>
        </w:rPr>
        <w:t>hese emissions are not consider</w:t>
      </w:r>
      <w:r w:rsidR="00FE5770">
        <w:rPr>
          <w:color w:val="44546A" w:themeColor="text2"/>
        </w:rPr>
        <w:t>ed</w:t>
      </w:r>
      <w:r w:rsidR="00205FED" w:rsidRPr="008F0D85">
        <w:rPr>
          <w:color w:val="44546A" w:themeColor="text2"/>
        </w:rPr>
        <w:t xml:space="preserve"> material</w:t>
      </w:r>
      <w:r w:rsidR="00FE5770">
        <w:rPr>
          <w:color w:val="44546A" w:themeColor="text2"/>
        </w:rPr>
        <w:t>, they</w:t>
      </w:r>
      <w:r w:rsidR="00205FED" w:rsidRPr="008F0D85">
        <w:rPr>
          <w:color w:val="44546A" w:themeColor="text2"/>
        </w:rPr>
        <w:t xml:space="preserve"> have been calculated </w:t>
      </w:r>
      <w:r w:rsidR="000C1A53" w:rsidRPr="008F0D85">
        <w:rPr>
          <w:color w:val="44546A" w:themeColor="text2"/>
        </w:rPr>
        <w:t>for completeness and accuracy.</w:t>
      </w:r>
    </w:p>
    <w:p w14:paraId="48A4A39F" w14:textId="77777777" w:rsidR="00B51878" w:rsidRPr="008F0D85" w:rsidRDefault="00B51878" w:rsidP="00A9699A">
      <w:pPr>
        <w:pStyle w:val="Heading4"/>
      </w:pPr>
      <w:r w:rsidRPr="008F0D85">
        <w:t>Calculation method</w:t>
      </w:r>
    </w:p>
    <w:p w14:paraId="5C949FE1" w14:textId="1FF1DB1B" w:rsidR="00D1561F" w:rsidRPr="008F0D85" w:rsidRDefault="00221088" w:rsidP="008F05EA">
      <w:pPr>
        <w:jc w:val="both"/>
        <w:rPr>
          <w:color w:val="44546A" w:themeColor="text2"/>
        </w:rPr>
      </w:pPr>
      <w:r>
        <w:rPr>
          <w:color w:val="44546A" w:themeColor="text2"/>
        </w:rPr>
        <w:t>T</w:t>
      </w:r>
      <w:r w:rsidR="00FB527D" w:rsidRPr="008F0D85">
        <w:rPr>
          <w:color w:val="44546A" w:themeColor="text2"/>
        </w:rPr>
        <w:t xml:space="preserve">otal </w:t>
      </w:r>
      <w:r w:rsidR="000C1A53" w:rsidRPr="008F0D85">
        <w:rPr>
          <w:color w:val="44546A" w:themeColor="text2"/>
        </w:rPr>
        <w:t>business travel emissions for flights</w:t>
      </w:r>
      <w:r>
        <w:rPr>
          <w:color w:val="44546A" w:themeColor="text2"/>
        </w:rPr>
        <w:t xml:space="preserve">, </w:t>
      </w:r>
      <w:r w:rsidR="00FB527D" w:rsidRPr="008F0D85">
        <w:rPr>
          <w:color w:val="44546A" w:themeColor="text2"/>
        </w:rPr>
        <w:t xml:space="preserve">taxi journeys and hotel </w:t>
      </w:r>
      <w:r w:rsidR="0058211B">
        <w:rPr>
          <w:color w:val="44546A" w:themeColor="text2"/>
        </w:rPr>
        <w:t>accommodation</w:t>
      </w:r>
      <w:r w:rsidR="00FB527D" w:rsidRPr="008F0D85">
        <w:rPr>
          <w:color w:val="44546A" w:themeColor="text2"/>
        </w:rPr>
        <w:t xml:space="preserve"> </w:t>
      </w:r>
      <w:r>
        <w:rPr>
          <w:color w:val="44546A" w:themeColor="text2"/>
        </w:rPr>
        <w:t>were</w:t>
      </w:r>
      <w:r w:rsidR="00FB527D" w:rsidRPr="008F0D85">
        <w:rPr>
          <w:color w:val="44546A" w:themeColor="text2"/>
        </w:rPr>
        <w:t xml:space="preserve"> derived fr</w:t>
      </w:r>
      <w:r w:rsidR="00225F72" w:rsidRPr="008F0D85">
        <w:rPr>
          <w:color w:val="44546A" w:themeColor="text2"/>
        </w:rPr>
        <w:t xml:space="preserve">om our </w:t>
      </w:r>
      <w:r w:rsidR="00D45849" w:rsidRPr="008F0D85">
        <w:rPr>
          <w:color w:val="44546A" w:themeColor="text2"/>
        </w:rPr>
        <w:t xml:space="preserve">travel </w:t>
      </w:r>
      <w:r w:rsidR="00F369EC" w:rsidRPr="008F0D85">
        <w:rPr>
          <w:color w:val="44546A" w:themeColor="text2"/>
        </w:rPr>
        <w:t xml:space="preserve">booking </w:t>
      </w:r>
      <w:r w:rsidR="00225F72" w:rsidRPr="008F0D85">
        <w:rPr>
          <w:color w:val="44546A" w:themeColor="text2"/>
        </w:rPr>
        <w:t xml:space="preserve">invoices. </w:t>
      </w:r>
      <w:r>
        <w:rPr>
          <w:color w:val="44546A" w:themeColor="text2"/>
        </w:rPr>
        <w:t>For flights</w:t>
      </w:r>
      <w:r w:rsidR="00225F72" w:rsidRPr="008F0D85">
        <w:rPr>
          <w:color w:val="44546A" w:themeColor="text2"/>
        </w:rPr>
        <w:t xml:space="preserve">, a </w:t>
      </w:r>
      <w:r w:rsidR="00D1561F" w:rsidRPr="008F0D85">
        <w:rPr>
          <w:color w:val="44546A" w:themeColor="text2"/>
        </w:rPr>
        <w:t xml:space="preserve">supplier-specific method with </w:t>
      </w:r>
      <w:r>
        <w:rPr>
          <w:color w:val="44546A" w:themeColor="text2"/>
        </w:rPr>
        <w:t>estimations</w:t>
      </w:r>
      <w:r w:rsidR="00D1561F" w:rsidRPr="008F0D85">
        <w:rPr>
          <w:color w:val="44546A" w:themeColor="text2"/>
        </w:rPr>
        <w:t xml:space="preserve"> derived from airlines</w:t>
      </w:r>
      <w:r w:rsidR="00FA0A68">
        <w:rPr>
          <w:color w:val="44546A" w:themeColor="text2"/>
        </w:rPr>
        <w:t>,</w:t>
      </w:r>
      <w:r w:rsidR="00D1561F" w:rsidRPr="008F0D85">
        <w:rPr>
          <w:color w:val="44546A" w:themeColor="text2"/>
        </w:rPr>
        <w:t xml:space="preserve"> </w:t>
      </w:r>
      <w:r w:rsidR="008F05EA">
        <w:rPr>
          <w:color w:val="44546A" w:themeColor="text2"/>
        </w:rPr>
        <w:t>computes</w:t>
      </w:r>
      <w:r w:rsidR="00D1561F" w:rsidRPr="008F0D85">
        <w:rPr>
          <w:color w:val="44546A" w:themeColor="text2"/>
        </w:rPr>
        <w:t xml:space="preserve"> emissions per flight based on variables </w:t>
      </w:r>
      <w:r w:rsidR="005655AC">
        <w:rPr>
          <w:color w:val="44546A" w:themeColor="text2"/>
        </w:rPr>
        <w:t>such as,</w:t>
      </w:r>
      <w:r w:rsidR="00D1561F" w:rsidRPr="008F0D85">
        <w:rPr>
          <w:color w:val="44546A" w:themeColor="text2"/>
        </w:rPr>
        <w:t xml:space="preserve"> aircraft type, travelled distance, average seating (economy or business class), and passenger load factors. </w:t>
      </w:r>
      <w:r>
        <w:rPr>
          <w:color w:val="44546A" w:themeColor="text2"/>
        </w:rPr>
        <w:t>T</w:t>
      </w:r>
      <w:r w:rsidR="00F369EC" w:rsidRPr="008F0D85">
        <w:rPr>
          <w:color w:val="44546A" w:themeColor="text2"/>
        </w:rPr>
        <w:t xml:space="preserve">axi </w:t>
      </w:r>
      <w:r w:rsidR="00003987" w:rsidRPr="008F0D85">
        <w:rPr>
          <w:color w:val="44546A" w:themeColor="text2"/>
        </w:rPr>
        <w:t>journey</w:t>
      </w:r>
      <w:r>
        <w:rPr>
          <w:color w:val="44546A" w:themeColor="text2"/>
        </w:rPr>
        <w:t xml:space="preserve"> emissions were estimated using a</w:t>
      </w:r>
      <w:r w:rsidR="00003987" w:rsidRPr="008F0D85">
        <w:rPr>
          <w:color w:val="44546A" w:themeColor="text2"/>
        </w:rPr>
        <w:t xml:space="preserve"> distance-based approach </w:t>
      </w:r>
      <w:r w:rsidR="008F05EA" w:rsidRPr="008F0D85">
        <w:rPr>
          <w:color w:val="44546A" w:themeColor="text2"/>
        </w:rPr>
        <w:t>by means of</w:t>
      </w:r>
      <w:r w:rsidR="00A10276" w:rsidRPr="008F0D85">
        <w:rPr>
          <w:color w:val="44546A" w:themeColor="text2"/>
        </w:rPr>
        <w:t xml:space="preserve"> total miles from start</w:t>
      </w:r>
      <w:r>
        <w:rPr>
          <w:color w:val="44546A" w:themeColor="text2"/>
        </w:rPr>
        <w:t xml:space="preserve"> to d</w:t>
      </w:r>
      <w:r w:rsidR="00A10276" w:rsidRPr="008F0D85">
        <w:rPr>
          <w:color w:val="44546A" w:themeColor="text2"/>
        </w:rPr>
        <w:t>estination.</w:t>
      </w:r>
      <w:r w:rsidR="00471A98" w:rsidRPr="008F0D85">
        <w:rPr>
          <w:color w:val="44546A" w:themeColor="text2"/>
        </w:rPr>
        <w:t xml:space="preserve"> Hotel </w:t>
      </w:r>
      <w:r w:rsidR="0058211B">
        <w:rPr>
          <w:color w:val="44546A" w:themeColor="text2"/>
        </w:rPr>
        <w:t>accommodation</w:t>
      </w:r>
      <w:r w:rsidR="001A1ECE">
        <w:rPr>
          <w:color w:val="44546A" w:themeColor="text2"/>
        </w:rPr>
        <w:t xml:space="preserve"> emissions</w:t>
      </w:r>
      <w:r w:rsidR="00FD3AED">
        <w:rPr>
          <w:color w:val="44546A" w:themeColor="text2"/>
        </w:rPr>
        <w:t xml:space="preserve"> were</w:t>
      </w:r>
      <w:r w:rsidR="00471A98" w:rsidRPr="008F0D85">
        <w:rPr>
          <w:color w:val="44546A" w:themeColor="text2"/>
        </w:rPr>
        <w:t xml:space="preserve"> based on total bookings</w:t>
      </w:r>
      <w:r w:rsidR="00FD3AED">
        <w:rPr>
          <w:color w:val="44546A" w:themeColor="text2"/>
        </w:rPr>
        <w:t>, with</w:t>
      </w:r>
      <w:r w:rsidR="00471A98" w:rsidRPr="008F0D85">
        <w:rPr>
          <w:color w:val="44546A" w:themeColor="text2"/>
        </w:rPr>
        <w:t xml:space="preserve"> an emission factor applied according to average emissions for the country</w:t>
      </w:r>
      <w:r w:rsidR="00FD3AED">
        <w:rPr>
          <w:color w:val="44546A" w:themeColor="text2"/>
        </w:rPr>
        <w:t xml:space="preserve"> of stay</w:t>
      </w:r>
      <w:r w:rsidR="00471A98" w:rsidRPr="008F0D85">
        <w:rPr>
          <w:color w:val="44546A" w:themeColor="text2"/>
        </w:rPr>
        <w:t>.</w:t>
      </w:r>
    </w:p>
    <w:p w14:paraId="646C951B" w14:textId="77777777" w:rsidR="00623A5D" w:rsidRPr="008F0D85" w:rsidRDefault="00623A5D" w:rsidP="00A9699A">
      <w:pPr>
        <w:pStyle w:val="Heading4"/>
      </w:pPr>
      <w:r w:rsidRPr="008F0D85">
        <w:t>Assumptions</w:t>
      </w:r>
    </w:p>
    <w:p w14:paraId="247A7B3F" w14:textId="6033F9EB" w:rsidR="00205FED" w:rsidRPr="008F0D85" w:rsidRDefault="00EB3B0F" w:rsidP="00A9699A">
      <w:pPr>
        <w:jc w:val="both"/>
        <w:rPr>
          <w:color w:val="44546A" w:themeColor="text2"/>
        </w:rPr>
      </w:pPr>
      <w:r w:rsidRPr="008F0D85">
        <w:rPr>
          <w:color w:val="44546A" w:themeColor="text2"/>
        </w:rPr>
        <w:t>The</w:t>
      </w:r>
      <w:r w:rsidR="00D1561F" w:rsidRPr="008F0D85">
        <w:rPr>
          <w:color w:val="44546A" w:themeColor="text2"/>
        </w:rPr>
        <w:t xml:space="preserve"> airlines</w:t>
      </w:r>
      <w:r w:rsidR="0058211B">
        <w:rPr>
          <w:color w:val="44546A" w:themeColor="text2"/>
        </w:rPr>
        <w:t>’</w:t>
      </w:r>
      <w:r w:rsidR="00D1561F" w:rsidRPr="008F0D85">
        <w:rPr>
          <w:color w:val="44546A" w:themeColor="text2"/>
        </w:rPr>
        <w:t xml:space="preserve"> computations methodology </w:t>
      </w:r>
      <w:r w:rsidR="00FD3AED">
        <w:rPr>
          <w:color w:val="44546A" w:themeColor="text2"/>
        </w:rPr>
        <w:t>may</w:t>
      </w:r>
      <w:r w:rsidR="006F6C5F" w:rsidRPr="008F0D85">
        <w:rPr>
          <w:color w:val="44546A" w:themeColor="text2"/>
        </w:rPr>
        <w:t xml:space="preserve"> vary</w:t>
      </w:r>
      <w:r w:rsidR="00D1561F" w:rsidRPr="008F0D85">
        <w:rPr>
          <w:color w:val="44546A" w:themeColor="text2"/>
        </w:rPr>
        <w:t>. British Airways</w:t>
      </w:r>
      <w:r w:rsidR="00D1561F" w:rsidRPr="008F0D85">
        <w:rPr>
          <w:rStyle w:val="FootnoteReference"/>
          <w:color w:val="44546A" w:themeColor="text2"/>
        </w:rPr>
        <w:footnoteReference w:id="27"/>
      </w:r>
      <w:r w:rsidR="00D1561F" w:rsidRPr="008F0D85">
        <w:rPr>
          <w:color w:val="44546A" w:themeColor="text2"/>
        </w:rPr>
        <w:t>, EasyJet</w:t>
      </w:r>
      <w:r w:rsidR="00D1561F" w:rsidRPr="008F0D85">
        <w:rPr>
          <w:rStyle w:val="FootnoteReference"/>
          <w:color w:val="44546A" w:themeColor="text2"/>
        </w:rPr>
        <w:footnoteReference w:id="28"/>
      </w:r>
      <w:r w:rsidR="00D1561F" w:rsidRPr="008F0D85">
        <w:rPr>
          <w:color w:val="44546A" w:themeColor="text2"/>
        </w:rPr>
        <w:t xml:space="preserve"> and Wizz Air</w:t>
      </w:r>
      <w:r w:rsidR="00D1561F" w:rsidRPr="008F0D85">
        <w:rPr>
          <w:rStyle w:val="FootnoteReference"/>
          <w:color w:val="44546A" w:themeColor="text2"/>
        </w:rPr>
        <w:footnoteReference w:id="29"/>
      </w:r>
      <w:r w:rsidR="00D1561F" w:rsidRPr="008F0D85">
        <w:rPr>
          <w:color w:val="44546A" w:themeColor="text2"/>
        </w:rPr>
        <w:t xml:space="preserve"> provide</w:t>
      </w:r>
      <w:r w:rsidR="00286EF9">
        <w:rPr>
          <w:color w:val="44546A" w:themeColor="text2"/>
        </w:rPr>
        <w:t xml:space="preserve"> an estimated</w:t>
      </w:r>
      <w:r w:rsidR="00D1561F" w:rsidRPr="008F0D85">
        <w:rPr>
          <w:color w:val="44546A" w:themeColor="text2"/>
        </w:rPr>
        <w:t xml:space="preserve"> CO</w:t>
      </w:r>
      <w:r w:rsidR="00D1561F" w:rsidRPr="008F0D85">
        <w:rPr>
          <w:color w:val="44546A" w:themeColor="text2"/>
          <w:vertAlign w:val="subscript"/>
        </w:rPr>
        <w:t>2</w:t>
      </w:r>
      <w:r w:rsidR="00D1561F" w:rsidRPr="008F0D85">
        <w:rPr>
          <w:color w:val="44546A" w:themeColor="text2"/>
        </w:rPr>
        <w:t xml:space="preserve"> </w:t>
      </w:r>
      <w:r w:rsidR="00286EF9">
        <w:rPr>
          <w:color w:val="44546A" w:themeColor="text2"/>
        </w:rPr>
        <w:t xml:space="preserve">emissions </w:t>
      </w:r>
      <w:proofErr w:type="gramStart"/>
      <w:r w:rsidR="00D1561F" w:rsidRPr="008F0D85">
        <w:rPr>
          <w:color w:val="44546A" w:themeColor="text2"/>
        </w:rPr>
        <w:t xml:space="preserve">footprint </w:t>
      </w:r>
      <w:r w:rsidR="000130F4">
        <w:rPr>
          <w:color w:val="44546A" w:themeColor="text2"/>
        </w:rPr>
        <w:t xml:space="preserve"> per</w:t>
      </w:r>
      <w:proofErr w:type="gramEnd"/>
      <w:r w:rsidR="00D1561F" w:rsidRPr="008F0D85">
        <w:rPr>
          <w:color w:val="44546A" w:themeColor="text2"/>
        </w:rPr>
        <w:t xml:space="preserve"> flight. </w:t>
      </w:r>
      <w:r w:rsidR="000C0371">
        <w:rPr>
          <w:color w:val="44546A" w:themeColor="text2"/>
        </w:rPr>
        <w:t xml:space="preserve">For </w:t>
      </w:r>
      <w:r w:rsidR="00A85AEF">
        <w:rPr>
          <w:color w:val="44546A" w:themeColor="text2"/>
        </w:rPr>
        <w:t>airlines</w:t>
      </w:r>
      <w:r w:rsidR="000C0371">
        <w:rPr>
          <w:color w:val="44546A" w:themeColor="text2"/>
        </w:rPr>
        <w:t xml:space="preserve"> where no </w:t>
      </w:r>
      <w:r w:rsidR="000C0371" w:rsidRPr="008F0D85">
        <w:rPr>
          <w:color w:val="44546A" w:themeColor="text2"/>
        </w:rPr>
        <w:t>CO</w:t>
      </w:r>
      <w:r w:rsidR="000C0371" w:rsidRPr="008F0D85">
        <w:rPr>
          <w:color w:val="44546A" w:themeColor="text2"/>
          <w:vertAlign w:val="subscript"/>
        </w:rPr>
        <w:t>2</w:t>
      </w:r>
      <w:r w:rsidR="000C0371" w:rsidRPr="008F0D85">
        <w:rPr>
          <w:color w:val="44546A" w:themeColor="text2"/>
        </w:rPr>
        <w:t xml:space="preserve"> </w:t>
      </w:r>
      <w:r w:rsidR="000C0371">
        <w:rPr>
          <w:color w:val="44546A" w:themeColor="text2"/>
        </w:rPr>
        <w:t xml:space="preserve">emissions estimations </w:t>
      </w:r>
      <w:r w:rsidR="00A85AEF">
        <w:rPr>
          <w:color w:val="44546A" w:themeColor="text2"/>
        </w:rPr>
        <w:t xml:space="preserve">are </w:t>
      </w:r>
      <w:r w:rsidR="00D04EB5">
        <w:rPr>
          <w:color w:val="44546A" w:themeColor="text2"/>
        </w:rPr>
        <w:t>provided</w:t>
      </w:r>
      <w:r w:rsidR="00CD0946">
        <w:rPr>
          <w:color w:val="44546A" w:themeColor="text2"/>
        </w:rPr>
        <w:t xml:space="preserve">, </w:t>
      </w:r>
      <w:r w:rsidR="0018147C">
        <w:rPr>
          <w:color w:val="44546A" w:themeColor="text2"/>
        </w:rPr>
        <w:t xml:space="preserve">the </w:t>
      </w:r>
      <w:r w:rsidR="00D1561F" w:rsidRPr="008F0D85">
        <w:rPr>
          <w:color w:val="44546A" w:themeColor="text2"/>
        </w:rPr>
        <w:t>“</w:t>
      </w:r>
      <w:proofErr w:type="spellStart"/>
      <w:r w:rsidR="00D1561F" w:rsidRPr="008F0D85">
        <w:rPr>
          <w:color w:val="44546A" w:themeColor="text2"/>
        </w:rPr>
        <w:t>myclimate</w:t>
      </w:r>
      <w:proofErr w:type="spellEnd"/>
      <w:r w:rsidR="00D1561F" w:rsidRPr="008F0D85">
        <w:rPr>
          <w:color w:val="44546A" w:themeColor="text2"/>
        </w:rPr>
        <w:t>” online emission calculator</w:t>
      </w:r>
      <w:r w:rsidR="00D1561F" w:rsidRPr="008F0D85">
        <w:rPr>
          <w:rStyle w:val="FootnoteReference"/>
          <w:color w:val="44546A" w:themeColor="text2"/>
        </w:rPr>
        <w:footnoteReference w:id="30"/>
      </w:r>
      <w:r w:rsidR="00D1561F" w:rsidRPr="008F0D85">
        <w:rPr>
          <w:color w:val="44546A" w:themeColor="text2"/>
        </w:rPr>
        <w:t xml:space="preserve"> </w:t>
      </w:r>
      <w:r w:rsidR="0018147C">
        <w:rPr>
          <w:color w:val="44546A" w:themeColor="text2"/>
        </w:rPr>
        <w:t xml:space="preserve">was used </w:t>
      </w:r>
      <w:r w:rsidR="00D1561F" w:rsidRPr="008F0D85">
        <w:rPr>
          <w:color w:val="44546A" w:themeColor="text2"/>
        </w:rPr>
        <w:t xml:space="preserve">to estimate emissions. Ground transportation emissions are </w:t>
      </w:r>
      <w:r w:rsidR="00D1561F" w:rsidRPr="008F0D85">
        <w:rPr>
          <w:color w:val="44546A" w:themeColor="text2"/>
        </w:rPr>
        <w:lastRenderedPageBreak/>
        <w:t>based on factors sourced from the UK Department of Transportation</w:t>
      </w:r>
      <w:r w:rsidR="00EC5CCF">
        <w:rPr>
          <w:rStyle w:val="FootnoteReference"/>
          <w:color w:val="44546A" w:themeColor="text2"/>
        </w:rPr>
        <w:footnoteReference w:id="31"/>
      </w:r>
      <w:r w:rsidR="00210D50">
        <w:rPr>
          <w:color w:val="44546A" w:themeColor="text2"/>
        </w:rPr>
        <w:t xml:space="preserve">, </w:t>
      </w:r>
      <w:r w:rsidR="00D1561F" w:rsidRPr="008F0D85">
        <w:rPr>
          <w:color w:val="44546A" w:themeColor="text2"/>
        </w:rPr>
        <w:t>integrat</w:t>
      </w:r>
      <w:r w:rsidR="00210D50">
        <w:rPr>
          <w:color w:val="44546A" w:themeColor="text2"/>
        </w:rPr>
        <w:t>ing</w:t>
      </w:r>
      <w:r w:rsidR="00D1561F" w:rsidRPr="008F0D85">
        <w:rPr>
          <w:color w:val="44546A" w:themeColor="text2"/>
        </w:rPr>
        <w:t xml:space="preserve"> specific vehicle emission factor with travelled distance.</w:t>
      </w:r>
    </w:p>
    <w:p w14:paraId="168485E9" w14:textId="77777777" w:rsidR="00032AC3" w:rsidRPr="008F0D85" w:rsidRDefault="00032AC3" w:rsidP="00A9699A">
      <w:pPr>
        <w:pStyle w:val="Heading4"/>
      </w:pPr>
      <w:r w:rsidRPr="008F0D85">
        <w:t>Inclusion and exclusion</w:t>
      </w:r>
    </w:p>
    <w:p w14:paraId="751201B3" w14:textId="6A6302CA" w:rsidR="00032AC3" w:rsidRPr="008F0D85" w:rsidRDefault="0014138E" w:rsidP="00A7106C">
      <w:pPr>
        <w:jc w:val="both"/>
        <w:rPr>
          <w:color w:val="44546A" w:themeColor="text2"/>
          <w:sz w:val="23"/>
          <w:szCs w:val="23"/>
        </w:rPr>
      </w:pPr>
      <w:r w:rsidRPr="008F0D85">
        <w:rPr>
          <w:color w:val="44546A" w:themeColor="text2"/>
          <w:lang w:val="en-CA"/>
        </w:rPr>
        <w:t xml:space="preserve">Assumptions </w:t>
      </w:r>
      <w:r w:rsidR="00210D50">
        <w:rPr>
          <w:color w:val="44546A" w:themeColor="text2"/>
          <w:lang w:val="en-CA"/>
        </w:rPr>
        <w:t>were</w:t>
      </w:r>
      <w:r w:rsidRPr="008F0D85">
        <w:rPr>
          <w:color w:val="44546A" w:themeColor="text2"/>
          <w:lang w:val="en-CA"/>
        </w:rPr>
        <w:t xml:space="preserve"> made for average distances for journeys </w:t>
      </w:r>
      <w:r w:rsidR="00210D50">
        <w:rPr>
          <w:color w:val="44546A" w:themeColor="text2"/>
          <w:lang w:val="en-CA"/>
        </w:rPr>
        <w:t xml:space="preserve">and </w:t>
      </w:r>
      <w:r w:rsidRPr="008F0D85">
        <w:rPr>
          <w:color w:val="44546A" w:themeColor="text2"/>
          <w:lang w:val="en-CA"/>
        </w:rPr>
        <w:t>country averages for hotel emissions.</w:t>
      </w:r>
      <w:r w:rsidR="008B335E">
        <w:rPr>
          <w:color w:val="44546A" w:themeColor="text2"/>
          <w:lang w:val="en-CA"/>
        </w:rPr>
        <w:t xml:space="preserve"> </w:t>
      </w:r>
    </w:p>
    <w:p w14:paraId="5BA59E85" w14:textId="14EB46EF" w:rsidR="00D80731" w:rsidRDefault="00D80731">
      <w:pPr>
        <w:rPr>
          <w:color w:val="44546A" w:themeColor="text2"/>
        </w:rPr>
      </w:pPr>
      <w:r>
        <w:rPr>
          <w:color w:val="44546A" w:themeColor="text2"/>
        </w:rPr>
        <w:br w:type="page"/>
      </w:r>
    </w:p>
    <w:p w14:paraId="5544A924" w14:textId="15406303" w:rsidR="0088405E" w:rsidRPr="008F0D85" w:rsidRDefault="00E7080D" w:rsidP="00D80731">
      <w:pPr>
        <w:pStyle w:val="Heading3"/>
      </w:pPr>
      <w:bookmarkStart w:id="21" w:name="_Toc194670376"/>
      <w:r w:rsidRPr="008F0D85">
        <w:lastRenderedPageBreak/>
        <w:t>Category 7 – Employee commuting</w:t>
      </w:r>
      <w:bookmarkEnd w:id="21"/>
      <w:r w:rsidRPr="008F0D85">
        <w:t xml:space="preserve"> </w:t>
      </w:r>
    </w:p>
    <w:tbl>
      <w:tblPr>
        <w:tblStyle w:val="GridTable5Dark-Accent2"/>
        <w:tblpPr w:leftFromText="180" w:rightFromText="180" w:vertAnchor="page" w:horzAnchor="margin" w:tblpY="2011"/>
        <w:tblW w:w="9067" w:type="dxa"/>
        <w:tblLook w:val="04A0" w:firstRow="1" w:lastRow="0" w:firstColumn="1" w:lastColumn="0" w:noHBand="0" w:noVBand="1"/>
      </w:tblPr>
      <w:tblGrid>
        <w:gridCol w:w="2547"/>
        <w:gridCol w:w="6520"/>
      </w:tblGrid>
      <w:tr w:rsidR="00D80731" w:rsidRPr="00B43CF5" w14:paraId="15C12B62" w14:textId="77777777" w:rsidTr="00BF050C">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3E5C60"/>
          </w:tcPr>
          <w:p w14:paraId="284C64BB" w14:textId="77777777" w:rsidR="00D80731" w:rsidRPr="00B43CF5" w:rsidRDefault="00D80731" w:rsidP="00D80731">
            <w:pPr>
              <w:jc w:val="both"/>
            </w:pPr>
            <w:r w:rsidRPr="00B43CF5">
              <w:t xml:space="preserve">Category 7 </w:t>
            </w:r>
          </w:p>
        </w:tc>
      </w:tr>
      <w:tr w:rsidR="00D80731" w:rsidRPr="00B43CF5" w14:paraId="24460405" w14:textId="77777777" w:rsidTr="00BF05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2EAA1316" w14:textId="77777777" w:rsidR="00D80731" w:rsidRPr="00B43CF5" w:rsidRDefault="00D80731" w:rsidP="00D80731">
            <w:r w:rsidRPr="00B43CF5">
              <w:t>Description</w:t>
            </w:r>
          </w:p>
        </w:tc>
        <w:tc>
          <w:tcPr>
            <w:tcW w:w="6520" w:type="dxa"/>
            <w:shd w:val="clear" w:color="auto" w:fill="C3D5D7"/>
          </w:tcPr>
          <w:p w14:paraId="4DAB0D94" w14:textId="385DF031" w:rsidR="00D80731" w:rsidRPr="002C3D3F" w:rsidRDefault="00D80731" w:rsidP="00D80731">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2C3D3F">
              <w:rPr>
                <w:color w:val="44546A" w:themeColor="text2"/>
              </w:rPr>
              <w:t>Emissions from the transportation of employees between their homes and their worksites during the reporting year in vehicles not owned or operated by CAML</w:t>
            </w:r>
            <w:r w:rsidR="00BF54AF" w:rsidRPr="002C3D3F">
              <w:rPr>
                <w:color w:val="44546A" w:themeColor="text2"/>
              </w:rPr>
              <w:t>.</w:t>
            </w:r>
          </w:p>
          <w:p w14:paraId="3634D7C2" w14:textId="77777777" w:rsidR="00D80731" w:rsidRPr="002C3D3F" w:rsidRDefault="00D80731" w:rsidP="00D80731">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D80731" w:rsidRPr="00B43CF5" w14:paraId="716CDA97" w14:textId="77777777" w:rsidTr="00BF050C">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2D1505CA" w14:textId="77777777" w:rsidR="00D80731" w:rsidRPr="00B43CF5" w:rsidRDefault="00D80731" w:rsidP="00D80731">
            <w:r w:rsidRPr="00471A98">
              <w:t>Emissions (</w:t>
            </w:r>
            <w:r w:rsidRPr="009F4A88">
              <w:rPr>
                <w:rFonts w:eastAsia="Times New Roman"/>
              </w:rPr>
              <w:t>tCO</w:t>
            </w:r>
            <w:r w:rsidRPr="009F4A88">
              <w:rPr>
                <w:rFonts w:eastAsia="Times New Roman"/>
                <w:vertAlign w:val="subscript"/>
              </w:rPr>
              <w:t>2</w:t>
            </w:r>
            <w:r w:rsidRPr="009F4A88">
              <w:rPr>
                <w:rFonts w:eastAsia="Times New Roman"/>
              </w:rPr>
              <w:t>e)</w:t>
            </w:r>
          </w:p>
        </w:tc>
        <w:tc>
          <w:tcPr>
            <w:tcW w:w="6520" w:type="dxa"/>
            <w:shd w:val="clear" w:color="auto" w:fill="E1EAEB"/>
          </w:tcPr>
          <w:p w14:paraId="1A8BE549" w14:textId="70FB40A3" w:rsidR="00D80731" w:rsidRPr="002C3D3F" w:rsidRDefault="00D80731" w:rsidP="00D80731">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2C3D3F">
              <w:rPr>
                <w:color w:val="44546A" w:themeColor="text2"/>
              </w:rPr>
              <w:t>2</w:t>
            </w:r>
            <w:r w:rsidR="00DC2210" w:rsidRPr="002C3D3F">
              <w:rPr>
                <w:color w:val="44546A" w:themeColor="text2"/>
              </w:rPr>
              <w:t>65</w:t>
            </w:r>
            <w:r w:rsidRPr="002C3D3F">
              <w:rPr>
                <w:color w:val="44546A" w:themeColor="text2"/>
              </w:rPr>
              <w:t xml:space="preserve"> (202</w:t>
            </w:r>
            <w:r w:rsidR="00B23973" w:rsidRPr="002C3D3F">
              <w:rPr>
                <w:color w:val="44546A" w:themeColor="text2"/>
              </w:rPr>
              <w:t>3</w:t>
            </w:r>
            <w:r w:rsidRPr="002C3D3F">
              <w:rPr>
                <w:color w:val="44546A" w:themeColor="text2"/>
              </w:rPr>
              <w:t xml:space="preserve">: </w:t>
            </w:r>
            <w:r w:rsidR="00B23973" w:rsidRPr="002C3D3F">
              <w:rPr>
                <w:color w:val="44546A" w:themeColor="text2"/>
              </w:rPr>
              <w:t>240</w:t>
            </w:r>
            <w:r w:rsidRPr="002C3D3F">
              <w:rPr>
                <w:color w:val="44546A" w:themeColor="text2"/>
              </w:rPr>
              <w:t>)</w:t>
            </w:r>
          </w:p>
          <w:p w14:paraId="03E7DF44" w14:textId="77777777" w:rsidR="00D80731" w:rsidRPr="002C3D3F" w:rsidRDefault="00D80731" w:rsidP="00D80731">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D80731" w:rsidRPr="00B43CF5" w14:paraId="5B02EAE9" w14:textId="77777777" w:rsidTr="00BF050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780AB71B" w14:textId="36279F63" w:rsidR="00D80731" w:rsidRPr="00B43CF5" w:rsidRDefault="00D80731" w:rsidP="00D80731">
            <w:r w:rsidRPr="00B43CF5">
              <w:t>Calculation</w:t>
            </w:r>
            <w:r w:rsidR="00C146F2">
              <w:t xml:space="preserve"> method</w:t>
            </w:r>
          </w:p>
        </w:tc>
        <w:tc>
          <w:tcPr>
            <w:tcW w:w="6520" w:type="dxa"/>
            <w:shd w:val="clear" w:color="auto" w:fill="C3D5D7"/>
          </w:tcPr>
          <w:p w14:paraId="4E1F8882" w14:textId="13D3DDD0" w:rsidR="00D80731" w:rsidRPr="002C3D3F" w:rsidRDefault="00D80731" w:rsidP="00D80731">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2C3D3F">
              <w:rPr>
                <w:color w:val="44546A" w:themeColor="text2"/>
              </w:rPr>
              <w:t>Average-data approach</w:t>
            </w:r>
          </w:p>
          <w:p w14:paraId="2AC4CD40" w14:textId="77777777" w:rsidR="00D80731" w:rsidRPr="002C3D3F" w:rsidRDefault="00D80731" w:rsidP="00D80731">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D80731" w:rsidRPr="00B43CF5" w14:paraId="592DED88" w14:textId="77777777" w:rsidTr="00BF050C">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19FAE49B" w14:textId="77777777" w:rsidR="00D80731" w:rsidRPr="00B43CF5" w:rsidRDefault="00D80731" w:rsidP="00D80731">
            <w:r w:rsidRPr="00B43CF5">
              <w:t>Activity data source</w:t>
            </w:r>
          </w:p>
        </w:tc>
        <w:tc>
          <w:tcPr>
            <w:tcW w:w="6520" w:type="dxa"/>
            <w:shd w:val="clear" w:color="auto" w:fill="E1EAEB"/>
          </w:tcPr>
          <w:p w14:paraId="4920E0BB" w14:textId="45078C94" w:rsidR="00D80731" w:rsidRPr="002C3D3F" w:rsidRDefault="00D80731" w:rsidP="00D80731">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2C3D3F">
              <w:rPr>
                <w:color w:val="44546A" w:themeColor="text2"/>
              </w:rPr>
              <w:t xml:space="preserve">The data provided by our suppliers of transportation includes details on number of coaches and vans transporting employees to work and </w:t>
            </w:r>
            <w:r w:rsidR="00BF54AF" w:rsidRPr="002C3D3F">
              <w:rPr>
                <w:color w:val="44546A" w:themeColor="text2"/>
              </w:rPr>
              <w:t xml:space="preserve">the </w:t>
            </w:r>
            <w:r w:rsidRPr="002C3D3F">
              <w:rPr>
                <w:color w:val="44546A" w:themeColor="text2"/>
              </w:rPr>
              <w:t>distances travelled. Surveys were carried out for the public transport users to collect data on transport method</w:t>
            </w:r>
            <w:r w:rsidR="00BF54AF" w:rsidRPr="002C3D3F">
              <w:rPr>
                <w:color w:val="44546A" w:themeColor="text2"/>
              </w:rPr>
              <w:t>s</w:t>
            </w:r>
            <w:r w:rsidRPr="002C3D3F">
              <w:rPr>
                <w:color w:val="44546A" w:themeColor="text2"/>
              </w:rPr>
              <w:t xml:space="preserve"> and travelled distance</w:t>
            </w:r>
            <w:r w:rsidR="00BF54AF" w:rsidRPr="002C3D3F">
              <w:rPr>
                <w:color w:val="44546A" w:themeColor="text2"/>
              </w:rPr>
              <w:t>s</w:t>
            </w:r>
            <w:r w:rsidRPr="002C3D3F">
              <w:rPr>
                <w:color w:val="44546A" w:themeColor="text2"/>
              </w:rPr>
              <w:t xml:space="preserve">. The </w:t>
            </w:r>
            <w:r w:rsidR="008969AA">
              <w:rPr>
                <w:color w:val="44546A" w:themeColor="text2"/>
              </w:rPr>
              <w:t>number</w:t>
            </w:r>
            <w:r w:rsidR="008969AA" w:rsidRPr="002C3D3F">
              <w:rPr>
                <w:color w:val="44546A" w:themeColor="text2"/>
              </w:rPr>
              <w:t xml:space="preserve"> </w:t>
            </w:r>
            <w:r w:rsidRPr="002C3D3F">
              <w:rPr>
                <w:color w:val="44546A" w:themeColor="text2"/>
              </w:rPr>
              <w:t>of employees commuting by car and the total number of cars parked at our sites were calculated and used</w:t>
            </w:r>
            <w:r w:rsidR="00BF54AF" w:rsidRPr="002C3D3F">
              <w:rPr>
                <w:color w:val="44546A" w:themeColor="text2"/>
              </w:rPr>
              <w:t>.</w:t>
            </w:r>
          </w:p>
          <w:p w14:paraId="0D5A3849" w14:textId="77777777" w:rsidR="00D80731" w:rsidRPr="002C3D3F" w:rsidRDefault="00D80731" w:rsidP="00D80731">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D80731" w:rsidRPr="00B43CF5" w14:paraId="576044AA" w14:textId="77777777" w:rsidTr="00BF050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51FE7045" w14:textId="77777777" w:rsidR="00D80731" w:rsidRPr="00B43CF5" w:rsidRDefault="00D80731" w:rsidP="00D80731">
            <w:r w:rsidRPr="00B43CF5">
              <w:t>Emissions data source</w:t>
            </w:r>
          </w:p>
        </w:tc>
        <w:tc>
          <w:tcPr>
            <w:tcW w:w="6520" w:type="dxa"/>
            <w:shd w:val="clear" w:color="auto" w:fill="C3D5D7"/>
          </w:tcPr>
          <w:p w14:paraId="11F7FB89" w14:textId="4DA8EC4C" w:rsidR="008969AA" w:rsidRDefault="00D80731" w:rsidP="00D80731">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2C3D3F">
              <w:rPr>
                <w:color w:val="44546A" w:themeColor="text2"/>
              </w:rPr>
              <w:t>Transport for London (TFL) emissions disclosure for corporate employees</w:t>
            </w:r>
            <w:r w:rsidRPr="00863925">
              <w:rPr>
                <w:color w:val="44546A" w:themeColor="text2"/>
                <w:vertAlign w:val="superscript"/>
              </w:rPr>
              <w:footnoteReference w:id="32"/>
            </w:r>
            <w:r w:rsidR="008969AA">
              <w:rPr>
                <w:color w:val="44546A" w:themeColor="text2"/>
              </w:rPr>
              <w:t>.</w:t>
            </w:r>
          </w:p>
          <w:p w14:paraId="2925D631" w14:textId="647DF3FA" w:rsidR="00D80731" w:rsidRPr="002C3D3F" w:rsidRDefault="008969AA" w:rsidP="00D80731">
            <w:pPr>
              <w:jc w:val="both"/>
              <w:cnfStyle w:val="000000100000" w:firstRow="0" w:lastRow="0" w:firstColumn="0" w:lastColumn="0" w:oddVBand="0" w:evenVBand="0" w:oddHBand="1" w:evenHBand="0" w:firstRowFirstColumn="0" w:firstRowLastColumn="0" w:lastRowFirstColumn="0" w:lastRowLastColumn="0"/>
              <w:rPr>
                <w:color w:val="44546A" w:themeColor="text2"/>
              </w:rPr>
            </w:pPr>
            <w:r>
              <w:rPr>
                <w:color w:val="44546A" w:themeColor="text2"/>
              </w:rPr>
              <w:t>O</w:t>
            </w:r>
            <w:r w:rsidR="00D80731" w:rsidRPr="002C3D3F">
              <w:rPr>
                <w:color w:val="44546A" w:themeColor="text2"/>
              </w:rPr>
              <w:t>perations used total emissions from distance travelled and method of transport</w:t>
            </w:r>
            <w:r w:rsidR="00BF54AF" w:rsidRPr="002C3D3F">
              <w:rPr>
                <w:color w:val="44546A" w:themeColor="text2"/>
              </w:rPr>
              <w:t>.</w:t>
            </w:r>
          </w:p>
          <w:p w14:paraId="2B96E873" w14:textId="77777777" w:rsidR="00D80731" w:rsidRPr="002C3D3F" w:rsidRDefault="00D80731" w:rsidP="00D80731">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bl>
    <w:p w14:paraId="7D949981" w14:textId="77777777" w:rsidR="0042784D" w:rsidRDefault="0042784D" w:rsidP="00E325F9">
      <w:pPr>
        <w:jc w:val="both"/>
      </w:pPr>
    </w:p>
    <w:p w14:paraId="2CB1998F" w14:textId="77777777" w:rsidR="000551C7" w:rsidRDefault="000551C7" w:rsidP="00623A5D">
      <w:pPr>
        <w:jc w:val="both"/>
        <w:rPr>
          <w:b/>
          <w:bCs/>
          <w:u w:val="single"/>
        </w:rPr>
      </w:pPr>
    </w:p>
    <w:p w14:paraId="715D1455" w14:textId="386C4576" w:rsidR="00623A5D" w:rsidRPr="008F0D85" w:rsidRDefault="00623A5D" w:rsidP="00D80731">
      <w:pPr>
        <w:pStyle w:val="Heading4"/>
      </w:pPr>
      <w:r w:rsidRPr="008F0D85">
        <w:t>Boundaries</w:t>
      </w:r>
    </w:p>
    <w:p w14:paraId="75A79F7C" w14:textId="6E6FE402" w:rsidR="00A743A8" w:rsidRPr="008F0D85" w:rsidRDefault="0029735B" w:rsidP="00BF050C">
      <w:pPr>
        <w:jc w:val="both"/>
        <w:rPr>
          <w:color w:val="44546A" w:themeColor="text2"/>
        </w:rPr>
      </w:pPr>
      <w:r>
        <w:rPr>
          <w:color w:val="44546A" w:themeColor="text2"/>
        </w:rPr>
        <w:t>This category encompasses emissions from the</w:t>
      </w:r>
      <w:r w:rsidR="00A743A8" w:rsidRPr="008F0D85">
        <w:rPr>
          <w:color w:val="44546A" w:themeColor="text2"/>
        </w:rPr>
        <w:t xml:space="preserve"> transportation of employees between their homes and their worksites during the reporting year</w:t>
      </w:r>
      <w:r>
        <w:rPr>
          <w:color w:val="44546A" w:themeColor="text2"/>
        </w:rPr>
        <w:t xml:space="preserve"> 202</w:t>
      </w:r>
      <w:r w:rsidR="00452D5C">
        <w:rPr>
          <w:color w:val="44546A" w:themeColor="text2"/>
        </w:rPr>
        <w:t>4</w:t>
      </w:r>
      <w:r>
        <w:rPr>
          <w:color w:val="44546A" w:themeColor="text2"/>
        </w:rPr>
        <w:t>, using</w:t>
      </w:r>
      <w:r w:rsidR="00A743A8" w:rsidRPr="008F0D85">
        <w:rPr>
          <w:color w:val="44546A" w:themeColor="text2"/>
        </w:rPr>
        <w:t xml:space="preserve"> vehicles not owned or operated by CAML.</w:t>
      </w:r>
      <w:r w:rsidR="0094374A" w:rsidRPr="008F0D85">
        <w:rPr>
          <w:color w:val="44546A" w:themeColor="text2"/>
        </w:rPr>
        <w:t xml:space="preserve"> </w:t>
      </w:r>
      <w:r>
        <w:rPr>
          <w:color w:val="44546A" w:themeColor="text2"/>
        </w:rPr>
        <w:t>While t</w:t>
      </w:r>
      <w:r w:rsidR="0094374A" w:rsidRPr="008F0D85">
        <w:rPr>
          <w:color w:val="44546A" w:themeColor="text2"/>
        </w:rPr>
        <w:t xml:space="preserve">hese emissions </w:t>
      </w:r>
      <w:r w:rsidR="00564FA7">
        <w:rPr>
          <w:color w:val="44546A" w:themeColor="text2"/>
        </w:rPr>
        <w:t>may not be</w:t>
      </w:r>
      <w:r w:rsidR="0094374A" w:rsidRPr="008F0D85">
        <w:rPr>
          <w:color w:val="44546A" w:themeColor="text2"/>
        </w:rPr>
        <w:t xml:space="preserve"> consider</w:t>
      </w:r>
      <w:r w:rsidR="00564FA7">
        <w:rPr>
          <w:color w:val="44546A" w:themeColor="text2"/>
        </w:rPr>
        <w:t>ed</w:t>
      </w:r>
      <w:r w:rsidR="0094374A" w:rsidRPr="008F0D85">
        <w:rPr>
          <w:color w:val="44546A" w:themeColor="text2"/>
        </w:rPr>
        <w:t xml:space="preserve"> material</w:t>
      </w:r>
      <w:r w:rsidR="00564FA7">
        <w:rPr>
          <w:color w:val="44546A" w:themeColor="text2"/>
        </w:rPr>
        <w:t>, they have been</w:t>
      </w:r>
      <w:r w:rsidR="0094374A" w:rsidRPr="008F0D85">
        <w:rPr>
          <w:color w:val="44546A" w:themeColor="text2"/>
        </w:rPr>
        <w:t xml:space="preserve"> </w:t>
      </w:r>
      <w:r w:rsidR="00482BD9">
        <w:rPr>
          <w:color w:val="44546A" w:themeColor="text2"/>
        </w:rPr>
        <w:t>estimated</w:t>
      </w:r>
      <w:r w:rsidR="0094374A" w:rsidRPr="008F0D85">
        <w:rPr>
          <w:color w:val="44546A" w:themeColor="text2"/>
        </w:rPr>
        <w:t xml:space="preserve"> for completeness and accuracy</w:t>
      </w:r>
      <w:r w:rsidR="00564FA7">
        <w:rPr>
          <w:color w:val="44546A" w:themeColor="text2"/>
        </w:rPr>
        <w:t xml:space="preserve"> in reporting</w:t>
      </w:r>
      <w:r w:rsidR="0094374A" w:rsidRPr="008F0D85">
        <w:rPr>
          <w:color w:val="44546A" w:themeColor="text2"/>
        </w:rPr>
        <w:t>.</w:t>
      </w:r>
    </w:p>
    <w:p w14:paraId="68A675D1" w14:textId="186CB7A9" w:rsidR="00A743A8" w:rsidRPr="008F0D85" w:rsidRDefault="00A743A8" w:rsidP="00D80731">
      <w:pPr>
        <w:pStyle w:val="Heading4"/>
      </w:pPr>
      <w:r w:rsidRPr="008F0D85">
        <w:t>Calculation method</w:t>
      </w:r>
    </w:p>
    <w:p w14:paraId="113AEE76" w14:textId="1FAA2C22" w:rsidR="00A743A8" w:rsidRPr="008F0D85" w:rsidRDefault="00A743A8" w:rsidP="00A743A8">
      <w:pPr>
        <w:jc w:val="both"/>
        <w:rPr>
          <w:color w:val="44546A" w:themeColor="text2"/>
        </w:rPr>
      </w:pPr>
      <w:r w:rsidRPr="008F0D85">
        <w:rPr>
          <w:color w:val="44546A" w:themeColor="text2"/>
        </w:rPr>
        <w:t>An average</w:t>
      </w:r>
      <w:r w:rsidR="004B10FD">
        <w:rPr>
          <w:color w:val="44546A" w:themeColor="text2"/>
        </w:rPr>
        <w:t>-</w:t>
      </w:r>
      <w:r w:rsidRPr="008F0D85">
        <w:rPr>
          <w:color w:val="44546A" w:themeColor="text2"/>
        </w:rPr>
        <w:t xml:space="preserve">data approach was </w:t>
      </w:r>
      <w:r w:rsidR="00564FA7">
        <w:rPr>
          <w:color w:val="44546A" w:themeColor="text2"/>
        </w:rPr>
        <w:t xml:space="preserve">employed, </w:t>
      </w:r>
      <w:r w:rsidR="00482BD9">
        <w:rPr>
          <w:color w:val="44546A" w:themeColor="text2"/>
        </w:rPr>
        <w:t>estimating</w:t>
      </w:r>
      <w:r w:rsidRPr="008F0D85">
        <w:rPr>
          <w:color w:val="44546A" w:themeColor="text2"/>
        </w:rPr>
        <w:t xml:space="preserve"> the total number of coaches and vans transporting employees to site per month. </w:t>
      </w:r>
      <w:r w:rsidR="007B2E33">
        <w:rPr>
          <w:color w:val="44546A" w:themeColor="text2"/>
        </w:rPr>
        <w:t>Additionally, t</w:t>
      </w:r>
      <w:r w:rsidRPr="008F0D85">
        <w:rPr>
          <w:color w:val="44546A" w:themeColor="text2"/>
        </w:rPr>
        <w:t>he number of cars parked during shifts over a week w</w:t>
      </w:r>
      <w:r w:rsidR="000F4E1C">
        <w:rPr>
          <w:color w:val="44546A" w:themeColor="text2"/>
        </w:rPr>
        <w:t>as</w:t>
      </w:r>
      <w:r w:rsidRPr="008F0D85">
        <w:rPr>
          <w:color w:val="44546A" w:themeColor="text2"/>
        </w:rPr>
        <w:t xml:space="preserve"> extrapolated over the year </w:t>
      </w:r>
      <w:r w:rsidR="000F4E1C">
        <w:rPr>
          <w:color w:val="44546A" w:themeColor="text2"/>
        </w:rPr>
        <w:t>to estimate</w:t>
      </w:r>
      <w:r w:rsidRPr="008F0D85">
        <w:rPr>
          <w:color w:val="44546A" w:themeColor="text2"/>
        </w:rPr>
        <w:t xml:space="preserve"> the number of trips</w:t>
      </w:r>
      <w:r w:rsidR="008969AA">
        <w:rPr>
          <w:color w:val="44546A" w:themeColor="text2"/>
        </w:rPr>
        <w:t xml:space="preserve"> taken</w:t>
      </w:r>
      <w:r w:rsidRPr="008F0D85">
        <w:rPr>
          <w:color w:val="44546A" w:themeColor="text2"/>
        </w:rPr>
        <w:t xml:space="preserve"> </w:t>
      </w:r>
      <w:r w:rsidR="000F4E1C">
        <w:rPr>
          <w:color w:val="44546A" w:themeColor="text2"/>
        </w:rPr>
        <w:t>annually.</w:t>
      </w:r>
    </w:p>
    <w:p w14:paraId="745D74C3" w14:textId="6F5B8248" w:rsidR="00A743A8" w:rsidRPr="008F0D85" w:rsidRDefault="000F4E1C" w:rsidP="00A743A8">
      <w:pPr>
        <w:jc w:val="both"/>
        <w:rPr>
          <w:color w:val="44546A" w:themeColor="text2"/>
        </w:rPr>
      </w:pPr>
      <w:r>
        <w:rPr>
          <w:color w:val="44546A" w:themeColor="text2"/>
        </w:rPr>
        <w:t xml:space="preserve">During </w:t>
      </w:r>
      <w:r w:rsidR="00A743A8" w:rsidRPr="008F0D85">
        <w:rPr>
          <w:color w:val="44546A" w:themeColor="text2"/>
        </w:rPr>
        <w:t xml:space="preserve">the analysis phase, an average-data approach was adopted. The activity data (distance in </w:t>
      </w:r>
      <w:r w:rsidR="000B5938" w:rsidRPr="008F0D85">
        <w:rPr>
          <w:color w:val="44546A" w:themeColor="text2"/>
        </w:rPr>
        <w:t>k</w:t>
      </w:r>
      <w:r w:rsidR="000B5938">
        <w:rPr>
          <w:color w:val="44546A" w:themeColor="text2"/>
        </w:rPr>
        <w:t>ilo</w:t>
      </w:r>
      <w:r w:rsidR="000B5938" w:rsidRPr="008F0D85">
        <w:rPr>
          <w:color w:val="44546A" w:themeColor="text2"/>
        </w:rPr>
        <w:t>m</w:t>
      </w:r>
      <w:r w:rsidR="000B5938">
        <w:rPr>
          <w:color w:val="44546A" w:themeColor="text2"/>
        </w:rPr>
        <w:t>etre</w:t>
      </w:r>
      <w:r w:rsidR="00A743A8" w:rsidRPr="008F0D85">
        <w:rPr>
          <w:color w:val="44546A" w:themeColor="text2"/>
        </w:rPr>
        <w:t xml:space="preserve"> and number of employees) was multiplied by the respective emission factor for each mode of transportation, reported in k</w:t>
      </w:r>
      <w:r w:rsidR="000B5938">
        <w:rPr>
          <w:color w:val="44546A" w:themeColor="text2"/>
        </w:rPr>
        <w:t>ilo</w:t>
      </w:r>
      <w:r w:rsidR="00A743A8" w:rsidRPr="008F0D85">
        <w:rPr>
          <w:color w:val="44546A" w:themeColor="text2"/>
        </w:rPr>
        <w:t>g</w:t>
      </w:r>
      <w:r w:rsidR="000B5938">
        <w:rPr>
          <w:color w:val="44546A" w:themeColor="text2"/>
        </w:rPr>
        <w:t>ramme</w:t>
      </w:r>
      <w:r w:rsidR="00A743A8" w:rsidRPr="008F0D85">
        <w:rPr>
          <w:color w:val="44546A" w:themeColor="text2"/>
        </w:rPr>
        <w:t xml:space="preserve"> CO</w:t>
      </w:r>
      <w:r w:rsidR="00A743A8" w:rsidRPr="008F0D85">
        <w:rPr>
          <w:color w:val="44546A" w:themeColor="text2"/>
          <w:vertAlign w:val="subscript"/>
        </w:rPr>
        <w:t>2</w:t>
      </w:r>
      <w:r w:rsidR="00A743A8" w:rsidRPr="008F0D85">
        <w:rPr>
          <w:color w:val="44546A" w:themeColor="text2"/>
        </w:rPr>
        <w:t>e per k</w:t>
      </w:r>
      <w:r w:rsidR="000B5938">
        <w:rPr>
          <w:color w:val="44546A" w:themeColor="text2"/>
        </w:rPr>
        <w:t>ilo</w:t>
      </w:r>
      <w:r w:rsidR="00A743A8" w:rsidRPr="008F0D85">
        <w:rPr>
          <w:color w:val="44546A" w:themeColor="text2"/>
        </w:rPr>
        <w:t>m</w:t>
      </w:r>
      <w:r w:rsidR="000B5938">
        <w:rPr>
          <w:color w:val="44546A" w:themeColor="text2"/>
        </w:rPr>
        <w:t>etre</w:t>
      </w:r>
      <w:r w:rsidR="00A743A8" w:rsidRPr="008F0D85">
        <w:rPr>
          <w:color w:val="44546A" w:themeColor="text2"/>
        </w:rPr>
        <w:t xml:space="preserve"> with final figures summed as </w:t>
      </w:r>
      <w:r w:rsidR="00A743A8" w:rsidRPr="008F0D85">
        <w:rPr>
          <w:rFonts w:eastAsia="Times New Roman"/>
          <w:color w:val="44546A" w:themeColor="text2"/>
        </w:rPr>
        <w:t>tCO</w:t>
      </w:r>
      <w:r w:rsidR="00A743A8" w:rsidRPr="008F0D85">
        <w:rPr>
          <w:rFonts w:eastAsia="Times New Roman"/>
          <w:color w:val="44546A" w:themeColor="text2"/>
          <w:vertAlign w:val="subscript"/>
        </w:rPr>
        <w:t>2</w:t>
      </w:r>
      <w:r w:rsidR="00A743A8" w:rsidRPr="008F0D85">
        <w:rPr>
          <w:rFonts w:eastAsia="Times New Roman"/>
          <w:color w:val="44546A" w:themeColor="text2"/>
        </w:rPr>
        <w:t>e</w:t>
      </w:r>
      <w:r w:rsidR="00A743A8" w:rsidRPr="008F0D85">
        <w:rPr>
          <w:color w:val="44546A" w:themeColor="text2"/>
        </w:rPr>
        <w:t xml:space="preserve">. </w:t>
      </w:r>
    </w:p>
    <w:p w14:paraId="61FC280A" w14:textId="7B48134E" w:rsidR="00A743A8" w:rsidRPr="008F0D85" w:rsidRDefault="00A743A8" w:rsidP="00A743A8">
      <w:pPr>
        <w:jc w:val="both"/>
        <w:rPr>
          <w:color w:val="44546A" w:themeColor="text2"/>
        </w:rPr>
      </w:pPr>
      <w:r w:rsidRPr="008F0D85">
        <w:rPr>
          <w:color w:val="44546A" w:themeColor="text2"/>
        </w:rPr>
        <w:t>While the emission factors for corporate commuters were sourced from the UK government website, those for site-specific employees were derived from internal figures relating to duty cars and coach</w:t>
      </w:r>
      <w:r w:rsidR="00AE2ADD">
        <w:rPr>
          <w:color w:val="44546A" w:themeColor="text2"/>
        </w:rPr>
        <w:t>es</w:t>
      </w:r>
      <w:r w:rsidRPr="008F0D85">
        <w:rPr>
          <w:color w:val="44546A" w:themeColor="text2"/>
        </w:rPr>
        <w:t xml:space="preserve">. </w:t>
      </w:r>
    </w:p>
    <w:p w14:paraId="6E6DB2DD" w14:textId="77777777" w:rsidR="00A743A8" w:rsidRPr="008F0D85" w:rsidRDefault="00A743A8" w:rsidP="00A743A8">
      <w:pPr>
        <w:jc w:val="both"/>
        <w:rPr>
          <w:color w:val="44546A" w:themeColor="text2"/>
        </w:rPr>
      </w:pPr>
    </w:p>
    <w:p w14:paraId="670FD9EF" w14:textId="77777777" w:rsidR="00BF050C" w:rsidRDefault="00623A5D" w:rsidP="00BF050C">
      <w:pPr>
        <w:pStyle w:val="Heading4"/>
      </w:pPr>
      <w:r w:rsidRPr="008F0D85">
        <w:t>Assumption</w:t>
      </w:r>
      <w:r w:rsidR="00A23153" w:rsidRPr="008F0D85">
        <w:t>s</w:t>
      </w:r>
    </w:p>
    <w:p w14:paraId="15F726A9" w14:textId="268CD0A6" w:rsidR="00A743A8" w:rsidRPr="008F0D85" w:rsidRDefault="00097FF2" w:rsidP="00BF050C">
      <w:pPr>
        <w:jc w:val="both"/>
        <w:rPr>
          <w:color w:val="44546A" w:themeColor="text2"/>
        </w:rPr>
      </w:pPr>
      <w:r>
        <w:rPr>
          <w:color w:val="44546A" w:themeColor="text2"/>
        </w:rPr>
        <w:t>The</w:t>
      </w:r>
      <w:r w:rsidR="00626B04" w:rsidRPr="008F0D85">
        <w:rPr>
          <w:color w:val="44546A" w:themeColor="text2"/>
        </w:rPr>
        <w:t xml:space="preserve"> total number of car</w:t>
      </w:r>
      <w:r>
        <w:rPr>
          <w:color w:val="44546A" w:themeColor="text2"/>
        </w:rPr>
        <w:t xml:space="preserve"> journeys by employees</w:t>
      </w:r>
      <w:r w:rsidR="00626B04" w:rsidRPr="008F0D85">
        <w:rPr>
          <w:color w:val="44546A" w:themeColor="text2"/>
        </w:rPr>
        <w:t xml:space="preserve"> </w:t>
      </w:r>
      <w:r>
        <w:rPr>
          <w:color w:val="44546A" w:themeColor="text2"/>
        </w:rPr>
        <w:t>was estimated based</w:t>
      </w:r>
      <w:r w:rsidR="00626B04" w:rsidRPr="008F0D85">
        <w:rPr>
          <w:color w:val="44546A" w:themeColor="text2"/>
        </w:rPr>
        <w:t xml:space="preserve"> on the number of cars parked in </w:t>
      </w:r>
      <w:r>
        <w:rPr>
          <w:color w:val="44546A" w:themeColor="text2"/>
        </w:rPr>
        <w:t xml:space="preserve">the </w:t>
      </w:r>
      <w:r w:rsidR="00626B04" w:rsidRPr="008F0D85">
        <w:rPr>
          <w:color w:val="44546A" w:themeColor="text2"/>
        </w:rPr>
        <w:t>car park</w:t>
      </w:r>
      <w:r w:rsidR="000B5938">
        <w:rPr>
          <w:color w:val="44546A" w:themeColor="text2"/>
        </w:rPr>
        <w:t>s</w:t>
      </w:r>
      <w:r>
        <w:rPr>
          <w:color w:val="44546A" w:themeColor="text2"/>
        </w:rPr>
        <w:t xml:space="preserve"> of our sites</w:t>
      </w:r>
      <w:r w:rsidR="00626B04" w:rsidRPr="008F0D85">
        <w:rPr>
          <w:color w:val="44546A" w:themeColor="text2"/>
        </w:rPr>
        <w:t xml:space="preserve"> during </w:t>
      </w:r>
      <w:r w:rsidR="00AE143C">
        <w:rPr>
          <w:color w:val="44546A" w:themeColor="text2"/>
        </w:rPr>
        <w:t>one</w:t>
      </w:r>
      <w:r w:rsidR="00626B04" w:rsidRPr="008F0D85">
        <w:rPr>
          <w:color w:val="44546A" w:themeColor="text2"/>
        </w:rPr>
        <w:t xml:space="preserve"> shift</w:t>
      </w:r>
      <w:r w:rsidR="00E167C8" w:rsidRPr="008F0D85">
        <w:rPr>
          <w:color w:val="44546A" w:themeColor="text2"/>
        </w:rPr>
        <w:t xml:space="preserve"> </w:t>
      </w:r>
      <w:r>
        <w:rPr>
          <w:color w:val="44546A" w:themeColor="text2"/>
        </w:rPr>
        <w:t>and extrapol</w:t>
      </w:r>
      <w:r w:rsidR="004E78D8">
        <w:rPr>
          <w:color w:val="44546A" w:themeColor="text2"/>
        </w:rPr>
        <w:t>a</w:t>
      </w:r>
      <w:r>
        <w:rPr>
          <w:color w:val="44546A" w:themeColor="text2"/>
        </w:rPr>
        <w:t xml:space="preserve">ted </w:t>
      </w:r>
      <w:r w:rsidR="00AE143C">
        <w:rPr>
          <w:color w:val="44546A" w:themeColor="text2"/>
        </w:rPr>
        <w:t>for the full</w:t>
      </w:r>
      <w:r w:rsidR="004E78D8">
        <w:rPr>
          <w:color w:val="44546A" w:themeColor="text2"/>
        </w:rPr>
        <w:t xml:space="preserve"> year.</w:t>
      </w:r>
    </w:p>
    <w:p w14:paraId="0C00C461" w14:textId="77777777" w:rsidR="00A743A8" w:rsidRPr="008F0D85" w:rsidRDefault="00A743A8" w:rsidP="00BF050C">
      <w:pPr>
        <w:pStyle w:val="Heading4"/>
      </w:pPr>
      <w:r w:rsidRPr="008F0D85">
        <w:t>Inclusion and exclusion</w:t>
      </w:r>
    </w:p>
    <w:p w14:paraId="65832D79" w14:textId="55041AF4" w:rsidR="0088405E" w:rsidRPr="008F0D85" w:rsidRDefault="00A743A8" w:rsidP="009622E5">
      <w:pPr>
        <w:jc w:val="both"/>
        <w:rPr>
          <w:color w:val="44546A" w:themeColor="text2"/>
        </w:rPr>
      </w:pPr>
      <w:r w:rsidRPr="008F0D85">
        <w:rPr>
          <w:color w:val="44546A" w:themeColor="text2"/>
        </w:rPr>
        <w:t>No exclusions from this category were made.</w:t>
      </w:r>
      <w:r w:rsidR="0088405E" w:rsidRPr="008F0D85">
        <w:rPr>
          <w:color w:val="44546A" w:themeColor="text2"/>
        </w:rPr>
        <w:br w:type="page"/>
      </w:r>
    </w:p>
    <w:p w14:paraId="6A27E8C5" w14:textId="595322AA" w:rsidR="002F0E93" w:rsidRDefault="002F0E93" w:rsidP="00BF050C">
      <w:pPr>
        <w:pStyle w:val="Heading3"/>
      </w:pPr>
      <w:bookmarkStart w:id="23" w:name="_Toc194670377"/>
      <w:r w:rsidRPr="008F0D85">
        <w:lastRenderedPageBreak/>
        <w:t>Category 8 – Upstream leased assets</w:t>
      </w:r>
      <w:bookmarkEnd w:id="23"/>
    </w:p>
    <w:p w14:paraId="4778E6D7" w14:textId="6565BA2F" w:rsidR="00BF050C" w:rsidRPr="00BF050C" w:rsidRDefault="00BF050C" w:rsidP="00BF050C">
      <w:pPr>
        <w:rPr>
          <w:lang w:val="en-CA"/>
        </w:rPr>
      </w:pPr>
    </w:p>
    <w:tbl>
      <w:tblPr>
        <w:tblStyle w:val="GridTable5Dark-Accent2"/>
        <w:tblW w:w="9378" w:type="dxa"/>
        <w:tblLook w:val="04A0" w:firstRow="1" w:lastRow="0" w:firstColumn="1" w:lastColumn="0" w:noHBand="0" w:noVBand="1"/>
      </w:tblPr>
      <w:tblGrid>
        <w:gridCol w:w="2263"/>
        <w:gridCol w:w="7115"/>
      </w:tblGrid>
      <w:tr w:rsidR="0042784D" w:rsidRPr="00B43CF5" w14:paraId="3C3A29A3" w14:textId="4213EFEE" w:rsidTr="00BF050C">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78" w:type="dxa"/>
            <w:gridSpan w:val="2"/>
            <w:shd w:val="clear" w:color="auto" w:fill="3E5C60"/>
          </w:tcPr>
          <w:p w14:paraId="4376B63D" w14:textId="025CED9A" w:rsidR="0042784D" w:rsidRPr="00B43CF5" w:rsidRDefault="0042784D" w:rsidP="00BF050C">
            <w:r w:rsidRPr="00B43CF5">
              <w:t xml:space="preserve">Category </w:t>
            </w:r>
            <w:r w:rsidR="00D44F32" w:rsidRPr="00B43CF5">
              <w:t>8</w:t>
            </w:r>
            <w:r w:rsidRPr="00B43CF5">
              <w:t xml:space="preserve"> </w:t>
            </w:r>
          </w:p>
        </w:tc>
      </w:tr>
      <w:tr w:rsidR="00BF050C" w:rsidRPr="00B43CF5" w14:paraId="5570CC81" w14:textId="66E1590B" w:rsidTr="00BF050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1E5C2623" w14:textId="1BA3340B" w:rsidR="00BF050C" w:rsidRPr="00B43CF5" w:rsidRDefault="00BF050C" w:rsidP="00BF050C">
            <w:r w:rsidRPr="00B43CF5">
              <w:t>Description</w:t>
            </w:r>
          </w:p>
        </w:tc>
        <w:tc>
          <w:tcPr>
            <w:tcW w:w="7115" w:type="dxa"/>
            <w:shd w:val="clear" w:color="auto" w:fill="C3D5D7"/>
          </w:tcPr>
          <w:p w14:paraId="2494CF65" w14:textId="0FD91CB0" w:rsidR="00BF050C" w:rsidRPr="008F0D85" w:rsidRDefault="00BF050C" w:rsidP="00E325F9">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Emissions from the operation of assets leased that are leased by CAML in the reporting year and not included in scope 1 and scope 2 reported by lessee.</w:t>
            </w:r>
          </w:p>
          <w:p w14:paraId="502FD0F9" w14:textId="172E50E0" w:rsidR="00BF050C" w:rsidRPr="00B43CF5" w:rsidRDefault="00BF050C" w:rsidP="00E325F9">
            <w:pPr>
              <w:jc w:val="both"/>
              <w:cnfStyle w:val="000000100000" w:firstRow="0" w:lastRow="0" w:firstColumn="0" w:lastColumn="0" w:oddVBand="0" w:evenVBand="0" w:oddHBand="1" w:evenHBand="0" w:firstRowFirstColumn="0" w:firstRowLastColumn="0" w:lastRowFirstColumn="0" w:lastRowLastColumn="0"/>
            </w:pPr>
          </w:p>
        </w:tc>
      </w:tr>
      <w:tr w:rsidR="00BF050C" w:rsidRPr="00B43CF5" w14:paraId="5100605B" w14:textId="43DB991C" w:rsidTr="00BF050C">
        <w:trPr>
          <w:trHeight w:val="240"/>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636247DA" w14:textId="6118A779" w:rsidR="00BF050C" w:rsidRPr="00B43CF5" w:rsidRDefault="00BF050C" w:rsidP="00BF050C">
            <w:r w:rsidRPr="0052529A">
              <w:t>Emissions (</w:t>
            </w:r>
            <w:r w:rsidRPr="008F0D85">
              <w:rPr>
                <w:rFonts w:eastAsia="Times New Roman"/>
              </w:rPr>
              <w:t>tCO</w:t>
            </w:r>
            <w:r w:rsidRPr="008F0D85">
              <w:rPr>
                <w:rFonts w:eastAsia="Times New Roman"/>
                <w:vertAlign w:val="subscript"/>
              </w:rPr>
              <w:t>2</w:t>
            </w:r>
            <w:r w:rsidRPr="008F0D85">
              <w:rPr>
                <w:rFonts w:eastAsia="Times New Roman"/>
              </w:rPr>
              <w:t>e)</w:t>
            </w:r>
          </w:p>
        </w:tc>
        <w:tc>
          <w:tcPr>
            <w:tcW w:w="7115" w:type="dxa"/>
            <w:shd w:val="clear" w:color="auto" w:fill="E1EAEB"/>
          </w:tcPr>
          <w:p w14:paraId="4C6B71FA" w14:textId="1CAA145B" w:rsidR="00BF050C" w:rsidRPr="008F0D85" w:rsidRDefault="00BF050C" w:rsidP="00E325F9">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8F0D85">
              <w:rPr>
                <w:color w:val="44546A" w:themeColor="text2"/>
              </w:rPr>
              <w:t>-</w:t>
            </w:r>
          </w:p>
        </w:tc>
      </w:tr>
      <w:tr w:rsidR="00BF050C" w:rsidRPr="00B43CF5" w14:paraId="49615F33" w14:textId="52FA4C1B" w:rsidTr="00BF050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167D696A" w14:textId="6790EA88" w:rsidR="00BF050C" w:rsidRPr="00B43CF5" w:rsidRDefault="00BF050C" w:rsidP="00BF050C">
            <w:r w:rsidRPr="00B43CF5">
              <w:t>Calculation</w:t>
            </w:r>
            <w:r w:rsidR="00C146F2">
              <w:t xml:space="preserve"> </w:t>
            </w:r>
            <w:bookmarkStart w:id="24" w:name="_Toc163044781"/>
            <w:r w:rsidR="00C146F2">
              <w:t>method</w:t>
            </w:r>
            <w:bookmarkEnd w:id="24"/>
          </w:p>
        </w:tc>
        <w:tc>
          <w:tcPr>
            <w:tcW w:w="7115" w:type="dxa"/>
            <w:shd w:val="clear" w:color="auto" w:fill="C3D5D7"/>
          </w:tcPr>
          <w:p w14:paraId="489B061C" w14:textId="67ADAA9D" w:rsidR="00BF050C" w:rsidRPr="008F0D85" w:rsidRDefault="00BF050C" w:rsidP="00E325F9">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N/A – not material</w:t>
            </w:r>
          </w:p>
          <w:p w14:paraId="6441BFA1" w14:textId="0C772CB1" w:rsidR="00BF050C" w:rsidRPr="008F0D85" w:rsidRDefault="00BF050C" w:rsidP="00E325F9">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BF050C" w:rsidRPr="00B43CF5" w14:paraId="04AD8350" w14:textId="7014B4B4" w:rsidTr="00BF050C">
        <w:trPr>
          <w:trHeight w:val="249"/>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378E0DF5" w14:textId="166CF48A" w:rsidR="00BF050C" w:rsidRPr="00B43CF5" w:rsidRDefault="00BF050C" w:rsidP="00BF050C">
            <w:r w:rsidRPr="00B43CF5">
              <w:t>Activity data source</w:t>
            </w:r>
          </w:p>
        </w:tc>
        <w:tc>
          <w:tcPr>
            <w:tcW w:w="7115" w:type="dxa"/>
            <w:shd w:val="clear" w:color="auto" w:fill="E1EAEB"/>
          </w:tcPr>
          <w:p w14:paraId="60744CD8" w14:textId="49C9C46E" w:rsidR="00BF050C" w:rsidRPr="008F0D85" w:rsidRDefault="00BF050C" w:rsidP="00E325F9">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8F0D85">
              <w:rPr>
                <w:color w:val="44546A" w:themeColor="text2"/>
              </w:rPr>
              <w:t>CAML does not have material upstream leased assets and therefore no emissions generated</w:t>
            </w:r>
            <w:r w:rsidR="009F5526">
              <w:rPr>
                <w:color w:val="44546A" w:themeColor="text2"/>
              </w:rPr>
              <w:t>.</w:t>
            </w:r>
          </w:p>
          <w:p w14:paraId="5FBA2F18" w14:textId="5C818694" w:rsidR="00BF050C" w:rsidRPr="008F0D85" w:rsidRDefault="00BF050C" w:rsidP="00E325F9">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BF050C" w:rsidRPr="00B43CF5" w14:paraId="5D41A45F" w14:textId="421326D8" w:rsidTr="0087210A">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0F935481" w14:textId="7A829C08" w:rsidR="00BF050C" w:rsidRPr="00B43CF5" w:rsidRDefault="00BF050C" w:rsidP="00BF050C">
            <w:r w:rsidRPr="00B43CF5">
              <w:t>Emissions data source</w:t>
            </w:r>
          </w:p>
        </w:tc>
        <w:tc>
          <w:tcPr>
            <w:tcW w:w="7115" w:type="dxa"/>
            <w:shd w:val="clear" w:color="auto" w:fill="C3D5D7"/>
          </w:tcPr>
          <w:p w14:paraId="63D4294F" w14:textId="0C30AABF" w:rsidR="00BF050C" w:rsidRPr="008F0D85" w:rsidRDefault="00BF050C" w:rsidP="00E325F9">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N/A</w:t>
            </w:r>
          </w:p>
        </w:tc>
      </w:tr>
    </w:tbl>
    <w:p w14:paraId="50E6DB45" w14:textId="73C614EA" w:rsidR="0042784D" w:rsidRPr="00B43CF5" w:rsidRDefault="0042784D" w:rsidP="00BF050C"/>
    <w:p w14:paraId="04A5779E" w14:textId="2E8B7CA8" w:rsidR="00623A5D" w:rsidRPr="00BF050C" w:rsidRDefault="00623A5D" w:rsidP="00BF050C">
      <w:pPr>
        <w:pStyle w:val="Heading4"/>
        <w:rPr>
          <w:bCs/>
          <w:color w:val="44546A" w:themeColor="text2"/>
        </w:rPr>
      </w:pPr>
      <w:r w:rsidRPr="00BF050C">
        <w:rPr>
          <w:bCs/>
          <w:color w:val="44546A" w:themeColor="text2"/>
        </w:rPr>
        <w:t>Boundaries</w:t>
      </w:r>
    </w:p>
    <w:p w14:paraId="79B1E52C" w14:textId="61C40B72" w:rsidR="00A743A8" w:rsidRPr="00BF050C" w:rsidRDefault="00A743A8" w:rsidP="00BF050C">
      <w:pPr>
        <w:jc w:val="both"/>
        <w:rPr>
          <w:color w:val="44546A" w:themeColor="text2"/>
        </w:rPr>
      </w:pPr>
      <w:r w:rsidRPr="008F0D85">
        <w:rPr>
          <w:color w:val="44546A" w:themeColor="text2"/>
        </w:rPr>
        <w:t>CAML does not have material upstream leased assets and therefore no emissions generated.</w:t>
      </w:r>
      <w:r w:rsidR="00FA2A29" w:rsidRPr="008F0D85">
        <w:rPr>
          <w:color w:val="44546A" w:themeColor="text2"/>
        </w:rPr>
        <w:t xml:space="preserve"> It is understood that CAML’s emissions relating to its leased assets are quantified in the Scope 1 and 2 inventories.</w:t>
      </w:r>
    </w:p>
    <w:p w14:paraId="762A14D6" w14:textId="1F390EB6" w:rsidR="00A743A8" w:rsidRPr="00BF050C" w:rsidRDefault="00A743A8" w:rsidP="00BF050C">
      <w:pPr>
        <w:pStyle w:val="Heading4"/>
        <w:rPr>
          <w:bCs/>
        </w:rPr>
      </w:pPr>
      <w:r w:rsidRPr="00BF050C">
        <w:rPr>
          <w:bCs/>
        </w:rPr>
        <w:t>Calculation method</w:t>
      </w:r>
    </w:p>
    <w:p w14:paraId="4D9DBCDD" w14:textId="0086E071" w:rsidR="00A743A8" w:rsidRPr="00BF050C" w:rsidRDefault="00A743A8" w:rsidP="00BF050C">
      <w:pPr>
        <w:jc w:val="both"/>
        <w:rPr>
          <w:color w:val="44546A" w:themeColor="text2"/>
        </w:rPr>
      </w:pPr>
      <w:r w:rsidRPr="008F0D85">
        <w:rPr>
          <w:color w:val="44546A" w:themeColor="text2"/>
        </w:rPr>
        <w:t>N/A</w:t>
      </w:r>
    </w:p>
    <w:p w14:paraId="5AEA9415" w14:textId="77A14D70" w:rsidR="00623A5D" w:rsidRPr="008F0D85" w:rsidRDefault="00623A5D" w:rsidP="00BF050C">
      <w:pPr>
        <w:pStyle w:val="Heading4"/>
      </w:pPr>
      <w:r w:rsidRPr="008F0D85">
        <w:t>Assumptions</w:t>
      </w:r>
    </w:p>
    <w:p w14:paraId="0EF3AA5F" w14:textId="5674420E" w:rsidR="001870C4" w:rsidRDefault="001870C4" w:rsidP="001870C4">
      <w:pPr>
        <w:jc w:val="both"/>
        <w:rPr>
          <w:color w:val="44546A" w:themeColor="text2"/>
        </w:rPr>
      </w:pPr>
      <w:r w:rsidRPr="008F0D85">
        <w:rPr>
          <w:color w:val="44546A" w:themeColor="text2"/>
        </w:rPr>
        <w:t>N/A</w:t>
      </w:r>
    </w:p>
    <w:p w14:paraId="2681744D" w14:textId="1D77B2A9" w:rsidR="00B138FA" w:rsidRPr="008F0D85" w:rsidRDefault="00B138FA" w:rsidP="00B138FA">
      <w:pPr>
        <w:pStyle w:val="Heading4"/>
      </w:pPr>
      <w:r>
        <w:t>Inclusion and exclusion</w:t>
      </w:r>
    </w:p>
    <w:p w14:paraId="7207E5C7" w14:textId="6E7A9355" w:rsidR="00D44F32" w:rsidRPr="0087210A" w:rsidRDefault="00B138FA" w:rsidP="00E325F9">
      <w:pPr>
        <w:jc w:val="both"/>
        <w:rPr>
          <w:color w:val="44546A" w:themeColor="text2"/>
        </w:rPr>
      </w:pPr>
      <w:r w:rsidRPr="0087210A">
        <w:rPr>
          <w:color w:val="44546A" w:themeColor="text2"/>
        </w:rPr>
        <w:t>N/A</w:t>
      </w:r>
    </w:p>
    <w:p w14:paraId="55EC6A53" w14:textId="74BFE8CA" w:rsidR="000551C7" w:rsidRDefault="0088405E" w:rsidP="00BF050C">
      <w:pPr>
        <w:pStyle w:val="Heading3"/>
      </w:pPr>
      <w:r w:rsidRPr="00B43CF5">
        <w:br w:type="page"/>
      </w:r>
      <w:bookmarkStart w:id="25" w:name="_Toc194670378"/>
      <w:r w:rsidR="000551C7" w:rsidRPr="008F0D85">
        <w:lastRenderedPageBreak/>
        <w:t>Category 9 – Downstream transportation &amp; distribution</w:t>
      </w:r>
      <w:bookmarkEnd w:id="25"/>
      <w:r w:rsidR="000551C7" w:rsidRPr="008F0D85">
        <w:t xml:space="preserve"> </w:t>
      </w:r>
    </w:p>
    <w:p w14:paraId="09C87D3E" w14:textId="77777777" w:rsidR="0042784D" w:rsidRPr="00B43CF5" w:rsidRDefault="0042784D" w:rsidP="008F0D85"/>
    <w:tbl>
      <w:tblPr>
        <w:tblStyle w:val="GridTable5Dark-Accent2"/>
        <w:tblpPr w:leftFromText="180" w:rightFromText="180" w:vertAnchor="text" w:horzAnchor="margin" w:tblpY="-74"/>
        <w:tblW w:w="9067" w:type="dxa"/>
        <w:tblLook w:val="04A0" w:firstRow="1" w:lastRow="0" w:firstColumn="1" w:lastColumn="0" w:noHBand="0" w:noVBand="1"/>
      </w:tblPr>
      <w:tblGrid>
        <w:gridCol w:w="2547"/>
        <w:gridCol w:w="6520"/>
      </w:tblGrid>
      <w:tr w:rsidR="000551C7" w:rsidRPr="00B43CF5" w14:paraId="5DC87FD4" w14:textId="77777777" w:rsidTr="00BF050C">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3E5C60"/>
          </w:tcPr>
          <w:p w14:paraId="7B7BF73B" w14:textId="77777777" w:rsidR="000551C7" w:rsidRPr="00B43CF5" w:rsidRDefault="000551C7" w:rsidP="000551C7">
            <w:pPr>
              <w:jc w:val="both"/>
            </w:pPr>
            <w:r w:rsidRPr="00B43CF5">
              <w:t xml:space="preserve">Category 9 </w:t>
            </w:r>
          </w:p>
        </w:tc>
      </w:tr>
      <w:tr w:rsidR="000551C7" w:rsidRPr="00B43CF5" w14:paraId="524630E5" w14:textId="77777777" w:rsidTr="00BF05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6FDCC958" w14:textId="77777777" w:rsidR="000551C7" w:rsidRPr="00B43CF5" w:rsidRDefault="000551C7" w:rsidP="000551C7">
            <w:r w:rsidRPr="00B43CF5">
              <w:t>Description</w:t>
            </w:r>
          </w:p>
        </w:tc>
        <w:tc>
          <w:tcPr>
            <w:tcW w:w="6520" w:type="dxa"/>
            <w:shd w:val="clear" w:color="auto" w:fill="C3D5D7"/>
          </w:tcPr>
          <w:p w14:paraId="0425334D" w14:textId="2A990B56" w:rsidR="000551C7" w:rsidRPr="008F0D85" w:rsidRDefault="000551C7"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All emissions from transportation and distribution of products sold by the company in the reporting year, between CAML’s operations and end consumers, in vehicles and facilities not owned or controlled by the company. This category only includes emissions related to transportation and distribution that occurs after the company pays to produce and distribute its product</w:t>
            </w:r>
            <w:r w:rsidR="0062649D">
              <w:rPr>
                <w:color w:val="44546A" w:themeColor="text2"/>
              </w:rPr>
              <w:t>.</w:t>
            </w:r>
          </w:p>
          <w:p w14:paraId="222DCE0B" w14:textId="77777777" w:rsidR="000551C7" w:rsidRPr="008F0D85" w:rsidRDefault="000551C7"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0551C7" w:rsidRPr="00B43CF5" w14:paraId="0A4ABB7F" w14:textId="77777777" w:rsidTr="00BF050C">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69CEA42B" w14:textId="77777777" w:rsidR="000551C7" w:rsidRPr="00B43CF5" w:rsidRDefault="000551C7" w:rsidP="000551C7">
            <w:r w:rsidRPr="00A743A8">
              <w:t>Emissions (</w:t>
            </w:r>
            <w:r w:rsidRPr="00EB4E2E">
              <w:rPr>
                <w:rFonts w:eastAsia="Times New Roman"/>
              </w:rPr>
              <w:t>tCO</w:t>
            </w:r>
            <w:r w:rsidRPr="00EB4E2E">
              <w:rPr>
                <w:rFonts w:eastAsia="Times New Roman"/>
                <w:vertAlign w:val="subscript"/>
              </w:rPr>
              <w:t>2</w:t>
            </w:r>
            <w:r w:rsidRPr="00EB4E2E">
              <w:rPr>
                <w:rFonts w:eastAsia="Times New Roman"/>
              </w:rPr>
              <w:t>e)</w:t>
            </w:r>
          </w:p>
        </w:tc>
        <w:tc>
          <w:tcPr>
            <w:tcW w:w="6520" w:type="dxa"/>
            <w:shd w:val="clear" w:color="auto" w:fill="E1EAEB"/>
          </w:tcPr>
          <w:p w14:paraId="377D03CD" w14:textId="4D164403" w:rsidR="000551C7" w:rsidRPr="008F0D85" w:rsidRDefault="000551C7" w:rsidP="000551C7">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157CB7">
              <w:rPr>
                <w:color w:val="44546A" w:themeColor="text2"/>
              </w:rPr>
              <w:t>1</w:t>
            </w:r>
            <w:r w:rsidR="00407BE5" w:rsidRPr="00157CB7">
              <w:rPr>
                <w:color w:val="44546A" w:themeColor="text2"/>
              </w:rPr>
              <w:t>4</w:t>
            </w:r>
            <w:r w:rsidRPr="00157CB7">
              <w:rPr>
                <w:color w:val="44546A" w:themeColor="text2"/>
              </w:rPr>
              <w:t>,</w:t>
            </w:r>
            <w:r w:rsidR="00407BE5" w:rsidRPr="00157CB7">
              <w:rPr>
                <w:color w:val="44546A" w:themeColor="text2"/>
              </w:rPr>
              <w:t>573</w:t>
            </w:r>
            <w:r w:rsidRPr="00157CB7">
              <w:rPr>
                <w:color w:val="44546A" w:themeColor="text2"/>
              </w:rPr>
              <w:t xml:space="preserve"> (202</w:t>
            </w:r>
            <w:r w:rsidR="00407BE5" w:rsidRPr="00157CB7">
              <w:rPr>
                <w:color w:val="44546A" w:themeColor="text2"/>
              </w:rPr>
              <w:t>3</w:t>
            </w:r>
            <w:r w:rsidRPr="00157CB7">
              <w:rPr>
                <w:color w:val="44546A" w:themeColor="text2"/>
              </w:rPr>
              <w:t xml:space="preserve">: </w:t>
            </w:r>
            <w:r w:rsidR="00407BE5" w:rsidRPr="00157CB7">
              <w:rPr>
                <w:color w:val="44546A" w:themeColor="text2"/>
              </w:rPr>
              <w:t>16,025</w:t>
            </w:r>
            <w:r w:rsidRPr="00157CB7">
              <w:rPr>
                <w:color w:val="44546A" w:themeColor="text2"/>
              </w:rPr>
              <w:t>)</w:t>
            </w:r>
          </w:p>
          <w:p w14:paraId="5207A4D1" w14:textId="77777777" w:rsidR="000551C7" w:rsidRPr="008F0D85" w:rsidRDefault="000551C7" w:rsidP="000551C7">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0551C7" w:rsidRPr="00B43CF5" w14:paraId="5B32C5C1" w14:textId="77777777" w:rsidTr="00BF050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7007BB3E" w14:textId="1F5A0FC6" w:rsidR="000551C7" w:rsidRPr="00B43CF5" w:rsidRDefault="000551C7" w:rsidP="000551C7">
            <w:r w:rsidRPr="00B43CF5">
              <w:t>Calculation</w:t>
            </w:r>
            <w:r w:rsidR="00C146F2">
              <w:t xml:space="preserve"> method</w:t>
            </w:r>
          </w:p>
        </w:tc>
        <w:tc>
          <w:tcPr>
            <w:tcW w:w="6520" w:type="dxa"/>
            <w:shd w:val="clear" w:color="auto" w:fill="C3D5D7"/>
          </w:tcPr>
          <w:p w14:paraId="73A73DFE" w14:textId="1719803D" w:rsidR="000551C7" w:rsidRPr="008F0D85" w:rsidRDefault="000551C7"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Average</w:t>
            </w:r>
            <w:r w:rsidR="004B10FD">
              <w:rPr>
                <w:color w:val="44546A" w:themeColor="text2"/>
              </w:rPr>
              <w:t>-</w:t>
            </w:r>
            <w:r w:rsidRPr="008F0D85">
              <w:rPr>
                <w:color w:val="44546A" w:themeColor="text2"/>
              </w:rPr>
              <w:t>data method</w:t>
            </w:r>
          </w:p>
          <w:p w14:paraId="72023EDE" w14:textId="77777777" w:rsidR="000551C7" w:rsidRPr="008F0D85" w:rsidRDefault="000551C7"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0551C7" w:rsidRPr="00B43CF5" w14:paraId="7D3CBBC8" w14:textId="77777777" w:rsidTr="00BF050C">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45D967BC" w14:textId="77777777" w:rsidR="000551C7" w:rsidRPr="00B43CF5" w:rsidRDefault="000551C7" w:rsidP="000551C7">
            <w:r w:rsidRPr="00B43CF5">
              <w:t>Activity data source</w:t>
            </w:r>
          </w:p>
        </w:tc>
        <w:tc>
          <w:tcPr>
            <w:tcW w:w="6520" w:type="dxa"/>
            <w:shd w:val="clear" w:color="auto" w:fill="E1EAEB"/>
          </w:tcPr>
          <w:p w14:paraId="406D8358" w14:textId="1F3B3D83" w:rsidR="000551C7" w:rsidRPr="008F0D85" w:rsidRDefault="00BF1614" w:rsidP="000551C7">
            <w:pPr>
              <w:jc w:val="both"/>
              <w:cnfStyle w:val="000000000000" w:firstRow="0" w:lastRow="0" w:firstColumn="0" w:lastColumn="0" w:oddVBand="0" w:evenVBand="0" w:oddHBand="0" w:evenHBand="0" w:firstRowFirstColumn="0" w:firstRowLastColumn="0" w:lastRowFirstColumn="0" w:lastRowLastColumn="0"/>
              <w:rPr>
                <w:color w:val="44546A" w:themeColor="text2"/>
              </w:rPr>
            </w:pPr>
            <w:r>
              <w:rPr>
                <w:color w:val="44546A" w:themeColor="text2"/>
              </w:rPr>
              <w:t>D</w:t>
            </w:r>
            <w:r w:rsidR="000551C7" w:rsidRPr="008F0D85">
              <w:rPr>
                <w:color w:val="44546A" w:themeColor="text2"/>
              </w:rPr>
              <w:t xml:space="preserve">ata provided by our sales department </w:t>
            </w:r>
            <w:r>
              <w:rPr>
                <w:color w:val="44546A" w:themeColor="text2"/>
              </w:rPr>
              <w:t>for the</w:t>
            </w:r>
            <w:r w:rsidRPr="008F0D85">
              <w:rPr>
                <w:color w:val="44546A" w:themeColor="text2"/>
              </w:rPr>
              <w:t xml:space="preserve"> </w:t>
            </w:r>
            <w:r w:rsidR="000551C7" w:rsidRPr="008F0D85">
              <w:rPr>
                <w:color w:val="44546A" w:themeColor="text2"/>
              </w:rPr>
              <w:t>number of trucks dispatched during the year including the total weight per truck and distance travelled per journey</w:t>
            </w:r>
            <w:r w:rsidR="0062649D">
              <w:rPr>
                <w:color w:val="44546A" w:themeColor="text2"/>
              </w:rPr>
              <w:t>.</w:t>
            </w:r>
          </w:p>
          <w:p w14:paraId="44549DF6" w14:textId="77777777" w:rsidR="000551C7" w:rsidRPr="008F0D85" w:rsidRDefault="000551C7" w:rsidP="000551C7">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0551C7" w:rsidRPr="00B43CF5" w14:paraId="50975416" w14:textId="77777777" w:rsidTr="00BF050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1DFCEA8F" w14:textId="77777777" w:rsidR="000551C7" w:rsidRPr="00B43CF5" w:rsidRDefault="000551C7" w:rsidP="000551C7">
            <w:r w:rsidRPr="00B43CF5">
              <w:t>Emissions data source</w:t>
            </w:r>
          </w:p>
        </w:tc>
        <w:tc>
          <w:tcPr>
            <w:tcW w:w="6520" w:type="dxa"/>
            <w:shd w:val="clear" w:color="auto" w:fill="C3D5D7"/>
          </w:tcPr>
          <w:p w14:paraId="0ABF3004" w14:textId="371DD339" w:rsidR="000551C7" w:rsidRPr="008F0D85" w:rsidRDefault="000551C7"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This value was then factored with the specific vehicle emission data provided by the US Environmental Protection Agency</w:t>
            </w:r>
            <w:r w:rsidRPr="008F0D85">
              <w:rPr>
                <w:rStyle w:val="FootnoteReference"/>
                <w:color w:val="44546A" w:themeColor="text2"/>
              </w:rPr>
              <w:footnoteReference w:id="33"/>
            </w:r>
            <w:r w:rsidR="0062649D">
              <w:rPr>
                <w:color w:val="44546A" w:themeColor="text2"/>
              </w:rPr>
              <w:t>.</w:t>
            </w:r>
          </w:p>
          <w:p w14:paraId="63A1C88A" w14:textId="77777777" w:rsidR="000551C7" w:rsidRPr="008F0D85" w:rsidRDefault="000551C7"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bl>
    <w:p w14:paraId="5ED68B6C" w14:textId="7A208510" w:rsidR="00A743A8" w:rsidRDefault="00A743A8" w:rsidP="00623A5D">
      <w:pPr>
        <w:jc w:val="both"/>
        <w:rPr>
          <w:b/>
          <w:bCs/>
          <w:u w:val="single"/>
        </w:rPr>
      </w:pPr>
    </w:p>
    <w:p w14:paraId="6AA7355D" w14:textId="611B794A" w:rsidR="00623A5D" w:rsidRPr="008F0D85" w:rsidRDefault="00623A5D" w:rsidP="00BF050C">
      <w:pPr>
        <w:pStyle w:val="Heading4"/>
      </w:pPr>
      <w:r w:rsidRPr="008F0D85">
        <w:t>Boundaries</w:t>
      </w:r>
    </w:p>
    <w:p w14:paraId="1BB0641C" w14:textId="1DB41CD7" w:rsidR="00A743A8" w:rsidRPr="008F0D85" w:rsidRDefault="00A93007" w:rsidP="00BF050C">
      <w:pPr>
        <w:jc w:val="both"/>
        <w:rPr>
          <w:color w:val="44546A" w:themeColor="text2"/>
        </w:rPr>
      </w:pPr>
      <w:r>
        <w:rPr>
          <w:color w:val="44546A" w:themeColor="text2"/>
        </w:rPr>
        <w:t>This</w:t>
      </w:r>
      <w:r w:rsidR="009622E5" w:rsidRPr="008F0D85">
        <w:rPr>
          <w:color w:val="44546A" w:themeColor="text2"/>
        </w:rPr>
        <w:t xml:space="preserve"> category accounts for emissions </w:t>
      </w:r>
      <w:r w:rsidR="004F2F75" w:rsidRPr="008F0D85">
        <w:rPr>
          <w:color w:val="44546A" w:themeColor="text2"/>
        </w:rPr>
        <w:t>categori</w:t>
      </w:r>
      <w:r w:rsidR="004F2F75">
        <w:rPr>
          <w:color w:val="44546A" w:themeColor="text2"/>
        </w:rPr>
        <w:t>s</w:t>
      </w:r>
      <w:r w:rsidR="004F2F75" w:rsidRPr="008F0D85">
        <w:rPr>
          <w:color w:val="44546A" w:themeColor="text2"/>
        </w:rPr>
        <w:t xml:space="preserve">ed </w:t>
      </w:r>
      <w:r w:rsidR="009622E5" w:rsidRPr="008F0D85">
        <w:rPr>
          <w:color w:val="44546A" w:themeColor="text2"/>
        </w:rPr>
        <w:t>as downstream based on financial transactions. The emissions cover road, rail, and marine freight.</w:t>
      </w:r>
    </w:p>
    <w:p w14:paraId="6B476AAB" w14:textId="77777777" w:rsidR="00852DE4" w:rsidRPr="008F0D85" w:rsidRDefault="00852DE4" w:rsidP="00BF050C">
      <w:pPr>
        <w:pStyle w:val="Heading4"/>
      </w:pPr>
      <w:r w:rsidRPr="008F0D85">
        <w:t>Calculation method</w:t>
      </w:r>
    </w:p>
    <w:p w14:paraId="3DABA21B" w14:textId="422DEC42" w:rsidR="00852DE4" w:rsidRPr="008F0D85" w:rsidRDefault="00852DE4" w:rsidP="00BF050C">
      <w:pPr>
        <w:jc w:val="both"/>
        <w:rPr>
          <w:color w:val="44546A" w:themeColor="text2"/>
        </w:rPr>
      </w:pPr>
      <w:r w:rsidRPr="008F0D85">
        <w:rPr>
          <w:color w:val="44546A" w:themeColor="text2"/>
        </w:rPr>
        <w:t xml:space="preserve">CAML’s sales team provided details of the total sales to each customer made across the Group. Category 9 includes those transportation and distribution costs which are paid for by CAML. </w:t>
      </w:r>
      <w:r w:rsidR="00F33DA4">
        <w:rPr>
          <w:color w:val="44546A" w:themeColor="text2"/>
        </w:rPr>
        <w:t>Copper, zinc and lead</w:t>
      </w:r>
      <w:r w:rsidRPr="008F0D85">
        <w:rPr>
          <w:color w:val="44546A" w:themeColor="text2"/>
        </w:rPr>
        <w:t xml:space="preserve"> are transported from the </w:t>
      </w:r>
      <w:r w:rsidR="00F33DA4">
        <w:rPr>
          <w:color w:val="44546A" w:themeColor="text2"/>
        </w:rPr>
        <w:t>operations</w:t>
      </w:r>
      <w:r w:rsidRPr="008F0D85">
        <w:rPr>
          <w:color w:val="44546A" w:themeColor="text2"/>
        </w:rPr>
        <w:t xml:space="preserve"> to </w:t>
      </w:r>
      <w:r w:rsidR="00F33DA4">
        <w:rPr>
          <w:color w:val="44546A" w:themeColor="text2"/>
        </w:rPr>
        <w:t>the</w:t>
      </w:r>
      <w:r w:rsidRPr="008F0D85">
        <w:rPr>
          <w:color w:val="44546A" w:themeColor="text2"/>
        </w:rPr>
        <w:t xml:space="preserve"> smelter/customer directly via trucks and a departure port. These distances were </w:t>
      </w:r>
      <w:r w:rsidR="00482BD9">
        <w:rPr>
          <w:color w:val="44546A" w:themeColor="text2"/>
        </w:rPr>
        <w:t>estimated</w:t>
      </w:r>
      <w:r w:rsidRPr="008F0D85">
        <w:rPr>
          <w:color w:val="44546A" w:themeColor="text2"/>
        </w:rPr>
        <w:t xml:space="preserve"> for each journey based on reasonable assumptions. For each mode of transport</w:t>
      </w:r>
      <w:r w:rsidR="00EB41DA">
        <w:rPr>
          <w:color w:val="44546A" w:themeColor="text2"/>
        </w:rPr>
        <w:t xml:space="preserve">, </w:t>
      </w:r>
      <w:r w:rsidRPr="008F0D85">
        <w:rPr>
          <w:color w:val="44546A" w:themeColor="text2"/>
        </w:rPr>
        <w:t xml:space="preserve">distances </w:t>
      </w:r>
      <w:r w:rsidR="00EB41DA">
        <w:rPr>
          <w:color w:val="44546A" w:themeColor="text2"/>
        </w:rPr>
        <w:t xml:space="preserve">were </w:t>
      </w:r>
      <w:r w:rsidR="00482BD9">
        <w:rPr>
          <w:color w:val="44546A" w:themeColor="text2"/>
        </w:rPr>
        <w:t>estimated</w:t>
      </w:r>
      <w:r w:rsidR="00EB41DA">
        <w:rPr>
          <w:color w:val="44546A" w:themeColor="text2"/>
        </w:rPr>
        <w:t xml:space="preserve"> </w:t>
      </w:r>
      <w:r w:rsidRPr="008F0D85">
        <w:rPr>
          <w:color w:val="44546A" w:themeColor="text2"/>
        </w:rPr>
        <w:t xml:space="preserve">and </w:t>
      </w:r>
      <w:r w:rsidR="00F35D7C">
        <w:rPr>
          <w:color w:val="44546A" w:themeColor="text2"/>
        </w:rPr>
        <w:t>emission factors from the</w:t>
      </w:r>
      <w:r w:rsidRPr="008F0D85">
        <w:rPr>
          <w:color w:val="44546A" w:themeColor="text2"/>
        </w:rPr>
        <w:t xml:space="preserve"> US environmental protection agency for the </w:t>
      </w:r>
      <w:r w:rsidR="00F35D7C">
        <w:rPr>
          <w:color w:val="44546A" w:themeColor="text2"/>
        </w:rPr>
        <w:t xml:space="preserve">respective </w:t>
      </w:r>
      <w:r w:rsidRPr="008F0D85">
        <w:rPr>
          <w:color w:val="44546A" w:themeColor="text2"/>
        </w:rPr>
        <w:t xml:space="preserve">transport mode were applied to the freight distance to </w:t>
      </w:r>
      <w:r w:rsidR="00F35D7C">
        <w:rPr>
          <w:color w:val="44546A" w:themeColor="text2"/>
        </w:rPr>
        <w:t>estimate</w:t>
      </w:r>
      <w:r w:rsidRPr="008F0D85">
        <w:rPr>
          <w:color w:val="44546A" w:themeColor="text2"/>
        </w:rPr>
        <w:t xml:space="preserve"> emission</w:t>
      </w:r>
      <w:r w:rsidR="00F35D7C">
        <w:rPr>
          <w:color w:val="44546A" w:themeColor="text2"/>
        </w:rPr>
        <w:t xml:space="preserve">s for </w:t>
      </w:r>
      <w:r w:rsidRPr="008F0D85">
        <w:rPr>
          <w:color w:val="44546A" w:themeColor="text2"/>
        </w:rPr>
        <w:t>each product.</w:t>
      </w:r>
    </w:p>
    <w:p w14:paraId="7C76CC28" w14:textId="77777777" w:rsidR="00852DE4" w:rsidRPr="008F0D85" w:rsidRDefault="00852DE4" w:rsidP="00BF050C">
      <w:pPr>
        <w:pStyle w:val="Heading4"/>
      </w:pPr>
      <w:r w:rsidRPr="008F0D85">
        <w:t>Assumptions</w:t>
      </w:r>
    </w:p>
    <w:p w14:paraId="74831F60" w14:textId="461FCDB4" w:rsidR="00852DE4" w:rsidRPr="008F0D85" w:rsidRDefault="00852DE4" w:rsidP="00852DE4">
      <w:pPr>
        <w:jc w:val="both"/>
        <w:rPr>
          <w:color w:val="44546A" w:themeColor="text2"/>
        </w:rPr>
      </w:pPr>
      <w:r w:rsidRPr="008F0D85">
        <w:rPr>
          <w:color w:val="44546A" w:themeColor="text2"/>
        </w:rPr>
        <w:t>The average</w:t>
      </w:r>
      <w:r w:rsidR="004B10FD">
        <w:rPr>
          <w:color w:val="44546A" w:themeColor="text2"/>
        </w:rPr>
        <w:t>-</w:t>
      </w:r>
      <w:r w:rsidRPr="008F0D85">
        <w:rPr>
          <w:color w:val="44546A" w:themeColor="text2"/>
        </w:rPr>
        <w:t xml:space="preserve">data method used Google Maps to estimate the distance from the </w:t>
      </w:r>
      <w:r w:rsidR="00F33DA4">
        <w:rPr>
          <w:color w:val="44546A" w:themeColor="text2"/>
        </w:rPr>
        <w:t>operations</w:t>
      </w:r>
      <w:r w:rsidRPr="008F0D85">
        <w:rPr>
          <w:color w:val="44546A" w:themeColor="text2"/>
        </w:rPr>
        <w:t xml:space="preserve"> gate to customers. The data capture</w:t>
      </w:r>
      <w:r w:rsidR="00F35D7C">
        <w:rPr>
          <w:color w:val="44546A" w:themeColor="text2"/>
        </w:rPr>
        <w:t>d</w:t>
      </w:r>
      <w:r w:rsidRPr="008F0D85">
        <w:rPr>
          <w:color w:val="44546A" w:themeColor="text2"/>
        </w:rPr>
        <w:t xml:space="preserve"> the net product mass transported monthly, and discerning the truck types, the latter of which was sourced from</w:t>
      </w:r>
      <w:r w:rsidR="00F33DA4">
        <w:rPr>
          <w:color w:val="44546A" w:themeColor="text2"/>
        </w:rPr>
        <w:t xml:space="preserve"> </w:t>
      </w:r>
      <w:r w:rsidR="00CB2B6E">
        <w:rPr>
          <w:color w:val="44546A" w:themeColor="text2"/>
        </w:rPr>
        <w:t>our</w:t>
      </w:r>
      <w:r w:rsidRPr="008F0D85">
        <w:rPr>
          <w:color w:val="44546A" w:themeColor="text2"/>
        </w:rPr>
        <w:t xml:space="preserve"> Head of Sales Departments. This data collection process produced the total distance travelled in k</w:t>
      </w:r>
      <w:r w:rsidR="00CB2B6E">
        <w:rPr>
          <w:color w:val="44546A" w:themeColor="text2"/>
        </w:rPr>
        <w:t>ilo</w:t>
      </w:r>
      <w:r w:rsidRPr="008F0D85">
        <w:rPr>
          <w:color w:val="44546A" w:themeColor="text2"/>
        </w:rPr>
        <w:t>m</w:t>
      </w:r>
      <w:r w:rsidR="00CB2B6E">
        <w:rPr>
          <w:color w:val="44546A" w:themeColor="text2"/>
        </w:rPr>
        <w:t>etres</w:t>
      </w:r>
      <w:r w:rsidRPr="008F0D85">
        <w:rPr>
          <w:color w:val="44546A" w:themeColor="text2"/>
        </w:rPr>
        <w:t xml:space="preserve"> and the weight in </w:t>
      </w:r>
      <w:proofErr w:type="spellStart"/>
      <w:r w:rsidRPr="008F0D85">
        <w:rPr>
          <w:color w:val="44546A" w:themeColor="text2"/>
        </w:rPr>
        <w:t>wmt</w:t>
      </w:r>
      <w:proofErr w:type="spellEnd"/>
      <w:r w:rsidRPr="008F0D85">
        <w:rPr>
          <w:color w:val="44546A" w:themeColor="text2"/>
        </w:rPr>
        <w:t xml:space="preserve"> per truck. </w:t>
      </w:r>
    </w:p>
    <w:p w14:paraId="6ED5DBA6" w14:textId="2838C63B" w:rsidR="00852DE4" w:rsidRPr="008F0D85" w:rsidRDefault="00F35D7C" w:rsidP="00BF050C">
      <w:pPr>
        <w:jc w:val="both"/>
        <w:rPr>
          <w:color w:val="44546A" w:themeColor="text2"/>
        </w:rPr>
      </w:pPr>
      <w:r>
        <w:rPr>
          <w:color w:val="44546A" w:themeColor="text2"/>
        </w:rPr>
        <w:lastRenderedPageBreak/>
        <w:t>During</w:t>
      </w:r>
      <w:r w:rsidR="00852DE4" w:rsidRPr="008F0D85">
        <w:rPr>
          <w:color w:val="44546A" w:themeColor="text2"/>
        </w:rPr>
        <w:t xml:space="preserve"> analysis, the average</w:t>
      </w:r>
      <w:r w:rsidR="004B10FD">
        <w:rPr>
          <w:color w:val="44546A" w:themeColor="text2"/>
        </w:rPr>
        <w:t>-</w:t>
      </w:r>
      <w:r w:rsidR="00852DE4" w:rsidRPr="008F0D85">
        <w:rPr>
          <w:color w:val="44546A" w:themeColor="text2"/>
        </w:rPr>
        <w:t xml:space="preserve">data method was employed: the mass per journey in </w:t>
      </w:r>
      <w:proofErr w:type="spellStart"/>
      <w:r w:rsidR="00852DE4" w:rsidRPr="008F0D85">
        <w:rPr>
          <w:color w:val="44546A" w:themeColor="text2"/>
        </w:rPr>
        <w:t>wmt</w:t>
      </w:r>
      <w:proofErr w:type="spellEnd"/>
      <w:r w:rsidR="00852DE4" w:rsidRPr="008F0D85">
        <w:rPr>
          <w:color w:val="44546A" w:themeColor="text2"/>
        </w:rPr>
        <w:t xml:space="preserve"> was multiplied by the total distance. This value was then factored with the specific vehicle emission data provided by the US Environmental Protection Agency</w:t>
      </w:r>
      <w:r w:rsidR="00852DE4" w:rsidRPr="008F0D85">
        <w:rPr>
          <w:color w:val="44546A" w:themeColor="text2"/>
          <w:vertAlign w:val="superscript"/>
        </w:rPr>
        <w:t>1</w:t>
      </w:r>
      <w:r w:rsidR="00852DE4" w:rsidRPr="008F0D85">
        <w:rPr>
          <w:color w:val="44546A" w:themeColor="text2"/>
        </w:rPr>
        <w:t>. These figures detailed emissions as CO</w:t>
      </w:r>
      <w:r w:rsidR="00852DE4" w:rsidRPr="008F0D85">
        <w:rPr>
          <w:color w:val="44546A" w:themeColor="text2"/>
          <w:vertAlign w:val="subscript"/>
        </w:rPr>
        <w:t>2</w:t>
      </w:r>
      <w:r w:rsidR="00852DE4" w:rsidRPr="008F0D85">
        <w:rPr>
          <w:color w:val="44546A" w:themeColor="text2"/>
        </w:rPr>
        <w:t>, CH</w:t>
      </w:r>
      <w:r w:rsidR="00852DE4" w:rsidRPr="008F0D85">
        <w:rPr>
          <w:color w:val="44546A" w:themeColor="text2"/>
          <w:vertAlign w:val="subscript"/>
        </w:rPr>
        <w:t>4</w:t>
      </w:r>
      <w:r w:rsidR="00852DE4" w:rsidRPr="008F0D85">
        <w:rPr>
          <w:color w:val="44546A" w:themeColor="text2"/>
        </w:rPr>
        <w:t>, and N</w:t>
      </w:r>
      <w:r w:rsidR="00852DE4" w:rsidRPr="008F0D85">
        <w:rPr>
          <w:color w:val="44546A" w:themeColor="text2"/>
          <w:vertAlign w:val="subscript"/>
        </w:rPr>
        <w:t>2</w:t>
      </w:r>
      <w:r w:rsidR="00852DE4" w:rsidRPr="008F0D85">
        <w:rPr>
          <w:color w:val="44546A" w:themeColor="text2"/>
        </w:rPr>
        <w:t>O per mile. The concluding step aggregated these to produce an initial figure in k</w:t>
      </w:r>
      <w:r w:rsidR="00CB2B6E">
        <w:rPr>
          <w:color w:val="44546A" w:themeColor="text2"/>
        </w:rPr>
        <w:t>ilo</w:t>
      </w:r>
      <w:r w:rsidR="00852DE4" w:rsidRPr="008F0D85">
        <w:rPr>
          <w:color w:val="44546A" w:themeColor="text2"/>
        </w:rPr>
        <w:t>g</w:t>
      </w:r>
      <w:r w:rsidR="002B0CC9">
        <w:rPr>
          <w:color w:val="44546A" w:themeColor="text2"/>
        </w:rPr>
        <w:t>ramme</w:t>
      </w:r>
      <w:r w:rsidR="00852DE4" w:rsidRPr="008F0D85">
        <w:rPr>
          <w:color w:val="44546A" w:themeColor="text2"/>
        </w:rPr>
        <w:t xml:space="preserve"> CO</w:t>
      </w:r>
      <w:r w:rsidR="00852DE4" w:rsidRPr="008F0D85">
        <w:rPr>
          <w:color w:val="44546A" w:themeColor="text2"/>
          <w:vertAlign w:val="subscript"/>
        </w:rPr>
        <w:t>2</w:t>
      </w:r>
      <w:r w:rsidR="00852DE4" w:rsidRPr="008F0D85">
        <w:rPr>
          <w:color w:val="44546A" w:themeColor="text2"/>
        </w:rPr>
        <w:t xml:space="preserve">e and converted to </w:t>
      </w:r>
      <w:r w:rsidR="00852DE4" w:rsidRPr="008F0D85">
        <w:rPr>
          <w:rFonts w:eastAsia="Times New Roman"/>
          <w:color w:val="44546A" w:themeColor="text2"/>
        </w:rPr>
        <w:t>tCO</w:t>
      </w:r>
      <w:r w:rsidR="00852DE4" w:rsidRPr="008F0D85">
        <w:rPr>
          <w:rFonts w:eastAsia="Times New Roman"/>
          <w:color w:val="44546A" w:themeColor="text2"/>
          <w:vertAlign w:val="subscript"/>
        </w:rPr>
        <w:t>2</w:t>
      </w:r>
      <w:r w:rsidR="00852DE4" w:rsidRPr="008F0D85">
        <w:rPr>
          <w:rFonts w:eastAsia="Times New Roman"/>
          <w:color w:val="44546A" w:themeColor="text2"/>
        </w:rPr>
        <w:t>e</w:t>
      </w:r>
      <w:r w:rsidR="00852DE4" w:rsidRPr="008F0D85">
        <w:rPr>
          <w:color w:val="44546A" w:themeColor="text2"/>
        </w:rPr>
        <w:t xml:space="preserve"> for summary summation.</w:t>
      </w:r>
    </w:p>
    <w:p w14:paraId="1D58579B" w14:textId="77777777" w:rsidR="00852DE4" w:rsidRPr="008F0D85" w:rsidRDefault="00852DE4" w:rsidP="00BF050C">
      <w:pPr>
        <w:pStyle w:val="Heading4"/>
      </w:pPr>
      <w:r w:rsidRPr="008F0D85">
        <w:t>Inclusion and exclusion</w:t>
      </w:r>
    </w:p>
    <w:p w14:paraId="0D8E8E05" w14:textId="0ACA9E79" w:rsidR="0088405E" w:rsidRPr="008F0D85" w:rsidRDefault="00852DE4" w:rsidP="00A7106C">
      <w:pPr>
        <w:jc w:val="both"/>
        <w:rPr>
          <w:color w:val="44546A" w:themeColor="text2"/>
        </w:rPr>
      </w:pPr>
      <w:r w:rsidRPr="008F0D85">
        <w:rPr>
          <w:color w:val="44546A" w:themeColor="text2"/>
        </w:rPr>
        <w:t>No exclusions from this category were made</w:t>
      </w:r>
      <w:r w:rsidR="0003708C">
        <w:rPr>
          <w:color w:val="44546A" w:themeColor="text2"/>
        </w:rPr>
        <w:t xml:space="preserve"> -</w:t>
      </w:r>
      <w:r w:rsidRPr="008F0D85">
        <w:rPr>
          <w:color w:val="44546A" w:themeColor="text2"/>
        </w:rPr>
        <w:t xml:space="preserve"> all sales have been recorded and accounted </w:t>
      </w:r>
      <w:proofErr w:type="gramStart"/>
      <w:r w:rsidRPr="008F0D85">
        <w:rPr>
          <w:color w:val="44546A" w:themeColor="text2"/>
        </w:rPr>
        <w:t>for,</w:t>
      </w:r>
      <w:proofErr w:type="gramEnd"/>
      <w:r w:rsidRPr="008F0D85">
        <w:rPr>
          <w:color w:val="44546A" w:themeColor="text2"/>
        </w:rPr>
        <w:t xml:space="preserve"> however</w:t>
      </w:r>
      <w:r w:rsidR="002B0CC9">
        <w:rPr>
          <w:color w:val="44546A" w:themeColor="text2"/>
        </w:rPr>
        <w:t>,</w:t>
      </w:r>
      <w:r w:rsidRPr="008F0D85">
        <w:rPr>
          <w:color w:val="44546A" w:themeColor="text2"/>
        </w:rPr>
        <w:t xml:space="preserve"> </w:t>
      </w:r>
      <w:r w:rsidR="004F76B4">
        <w:rPr>
          <w:color w:val="44546A" w:themeColor="text2"/>
        </w:rPr>
        <w:t>we have used</w:t>
      </w:r>
      <w:r w:rsidR="006B2B75">
        <w:rPr>
          <w:color w:val="44546A" w:themeColor="text2"/>
        </w:rPr>
        <w:t xml:space="preserve"> average</w:t>
      </w:r>
      <w:r w:rsidR="00840783">
        <w:rPr>
          <w:color w:val="44546A" w:themeColor="text2"/>
        </w:rPr>
        <w:t xml:space="preserve"> </w:t>
      </w:r>
      <w:r w:rsidRPr="008F0D85">
        <w:rPr>
          <w:color w:val="44546A" w:themeColor="text2"/>
        </w:rPr>
        <w:t xml:space="preserve">distance travelled </w:t>
      </w:r>
      <w:r w:rsidR="0003708C">
        <w:rPr>
          <w:color w:val="44546A" w:themeColor="text2"/>
        </w:rPr>
        <w:t xml:space="preserve">per truck </w:t>
      </w:r>
      <w:r w:rsidRPr="008F0D85">
        <w:rPr>
          <w:color w:val="44546A" w:themeColor="text2"/>
        </w:rPr>
        <w:t>rather than</w:t>
      </w:r>
      <w:r w:rsidR="0051689C">
        <w:rPr>
          <w:color w:val="44546A" w:themeColor="text2"/>
        </w:rPr>
        <w:t xml:space="preserve"> total actual</w:t>
      </w:r>
      <w:r w:rsidRPr="008F0D85">
        <w:rPr>
          <w:color w:val="44546A" w:themeColor="text2"/>
        </w:rPr>
        <w:t xml:space="preserve"> distance </w:t>
      </w:r>
      <w:r w:rsidR="0051689C">
        <w:rPr>
          <w:color w:val="44546A" w:themeColor="text2"/>
        </w:rPr>
        <w:t>travelled</w:t>
      </w:r>
      <w:r w:rsidRPr="008F0D85">
        <w:rPr>
          <w:color w:val="44546A" w:themeColor="text2"/>
        </w:rPr>
        <w:t>.</w:t>
      </w:r>
      <w:r w:rsidR="0088405E" w:rsidRPr="008F0D85">
        <w:rPr>
          <w:color w:val="44546A" w:themeColor="text2"/>
        </w:rPr>
        <w:br w:type="page"/>
      </w:r>
    </w:p>
    <w:p w14:paraId="729B35A8" w14:textId="11117557" w:rsidR="00E16A68" w:rsidRPr="008F0D85" w:rsidRDefault="00E16A68" w:rsidP="00BF050C">
      <w:pPr>
        <w:pStyle w:val="Heading3"/>
      </w:pPr>
      <w:bookmarkStart w:id="26" w:name="_Toc194670379"/>
      <w:r w:rsidRPr="008F0D85">
        <w:lastRenderedPageBreak/>
        <w:t>Category 10 – Processing of sold products</w:t>
      </w:r>
      <w:bookmarkEnd w:id="26"/>
      <w:r w:rsidRPr="008F0D85">
        <w:t xml:space="preserve"> </w:t>
      </w:r>
    </w:p>
    <w:tbl>
      <w:tblPr>
        <w:tblStyle w:val="GridTable5Dark-Accent2"/>
        <w:tblpPr w:leftFromText="180" w:rightFromText="180" w:vertAnchor="text" w:horzAnchor="margin" w:tblpY="93"/>
        <w:tblW w:w="9067" w:type="dxa"/>
        <w:tblLook w:val="04A0" w:firstRow="1" w:lastRow="0" w:firstColumn="1" w:lastColumn="0" w:noHBand="0" w:noVBand="1"/>
      </w:tblPr>
      <w:tblGrid>
        <w:gridCol w:w="2547"/>
        <w:gridCol w:w="6520"/>
      </w:tblGrid>
      <w:tr w:rsidR="00BF050C" w:rsidRPr="00B43CF5" w14:paraId="4968CD2F" w14:textId="77777777" w:rsidTr="00BF050C">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3E5C60"/>
          </w:tcPr>
          <w:p w14:paraId="24576FCD" w14:textId="77777777" w:rsidR="00BF050C" w:rsidRPr="00B43CF5" w:rsidRDefault="00BF050C" w:rsidP="00BF050C">
            <w:pPr>
              <w:jc w:val="both"/>
            </w:pPr>
            <w:r w:rsidRPr="00B43CF5">
              <w:t xml:space="preserve">Category 10 </w:t>
            </w:r>
          </w:p>
        </w:tc>
      </w:tr>
      <w:tr w:rsidR="00BF050C" w:rsidRPr="00B43CF5" w14:paraId="3EEBD032" w14:textId="77777777" w:rsidTr="00BF05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54946960" w14:textId="77777777" w:rsidR="00BF050C" w:rsidRPr="00B43CF5" w:rsidRDefault="00BF050C" w:rsidP="00BF050C">
            <w:r w:rsidRPr="00B43CF5">
              <w:t>Description</w:t>
            </w:r>
          </w:p>
        </w:tc>
        <w:tc>
          <w:tcPr>
            <w:tcW w:w="6520" w:type="dxa"/>
            <w:shd w:val="clear" w:color="auto" w:fill="C3D5D7"/>
          </w:tcPr>
          <w:p w14:paraId="5C9B77E4" w14:textId="4D235166" w:rsidR="00BF050C" w:rsidRPr="008F0D85" w:rsidRDefault="00BF050C" w:rsidP="00BF050C">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 xml:space="preserve">All emissions from processing of sold zinc, lead and silver by third parties, </w:t>
            </w:r>
            <w:r w:rsidR="006A2911" w:rsidRPr="008F0D85">
              <w:rPr>
                <w:color w:val="44546A" w:themeColor="text2"/>
              </w:rPr>
              <w:t>after</w:t>
            </w:r>
            <w:r w:rsidRPr="008F0D85">
              <w:rPr>
                <w:color w:val="44546A" w:themeColor="text2"/>
              </w:rPr>
              <w:t xml:space="preserve"> sale by CAML. These are products that require further processing after the company sells them, but before use by the end consumer</w:t>
            </w:r>
            <w:r w:rsidR="004861B6">
              <w:rPr>
                <w:color w:val="44546A" w:themeColor="text2"/>
              </w:rPr>
              <w:t>.</w:t>
            </w:r>
          </w:p>
          <w:p w14:paraId="535354DF" w14:textId="77777777" w:rsidR="00BF050C" w:rsidRPr="008F0D85" w:rsidRDefault="00BF050C" w:rsidP="00BF050C">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 xml:space="preserve"> </w:t>
            </w:r>
          </w:p>
        </w:tc>
      </w:tr>
      <w:tr w:rsidR="00BF050C" w:rsidRPr="00B43CF5" w14:paraId="5E7850B5" w14:textId="77777777" w:rsidTr="00BF050C">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779ED831" w14:textId="77777777" w:rsidR="00BF050C" w:rsidRPr="00B43CF5" w:rsidRDefault="00BF050C" w:rsidP="00BF050C">
            <w:r w:rsidRPr="00852DE4">
              <w:t>Emissions (</w:t>
            </w:r>
            <w:r w:rsidRPr="008F0D85">
              <w:rPr>
                <w:rFonts w:eastAsia="Times New Roman"/>
              </w:rPr>
              <w:t>tCO</w:t>
            </w:r>
            <w:r w:rsidRPr="008F0D85">
              <w:rPr>
                <w:rFonts w:eastAsia="Times New Roman"/>
                <w:vertAlign w:val="subscript"/>
              </w:rPr>
              <w:t>2</w:t>
            </w:r>
            <w:r w:rsidRPr="008F0D85">
              <w:rPr>
                <w:rFonts w:eastAsia="Times New Roman"/>
              </w:rPr>
              <w:t>e)</w:t>
            </w:r>
          </w:p>
        </w:tc>
        <w:tc>
          <w:tcPr>
            <w:tcW w:w="6520" w:type="dxa"/>
            <w:shd w:val="clear" w:color="auto" w:fill="E1EAEB"/>
          </w:tcPr>
          <w:p w14:paraId="23D8BB53" w14:textId="657B742C" w:rsidR="00BF050C" w:rsidRPr="008F0D85" w:rsidRDefault="009A6D5B" w:rsidP="00BF050C">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DA35A0">
              <w:rPr>
                <w:color w:val="44546A" w:themeColor="text2"/>
              </w:rPr>
              <w:t>98</w:t>
            </w:r>
            <w:r w:rsidR="00BF050C" w:rsidRPr="00BF23D1">
              <w:rPr>
                <w:color w:val="44546A" w:themeColor="text2"/>
              </w:rPr>
              <w:t>,6</w:t>
            </w:r>
            <w:r w:rsidR="009D5A34">
              <w:rPr>
                <w:color w:val="44546A" w:themeColor="text2"/>
              </w:rPr>
              <w:t>59</w:t>
            </w:r>
            <w:r w:rsidR="00BF050C" w:rsidRPr="00BF23D1">
              <w:rPr>
                <w:color w:val="44546A" w:themeColor="text2"/>
              </w:rPr>
              <w:t xml:space="preserve"> (202</w:t>
            </w:r>
            <w:r w:rsidR="00157CB7" w:rsidRPr="00DA35A0">
              <w:rPr>
                <w:color w:val="44546A" w:themeColor="text2"/>
              </w:rPr>
              <w:t>3</w:t>
            </w:r>
            <w:r w:rsidR="00BF050C" w:rsidRPr="00BF23D1">
              <w:rPr>
                <w:color w:val="44546A" w:themeColor="text2"/>
              </w:rPr>
              <w:t xml:space="preserve">: </w:t>
            </w:r>
            <w:r w:rsidR="008D6A91" w:rsidRPr="00DA35A0">
              <w:rPr>
                <w:color w:val="44546A" w:themeColor="text2"/>
              </w:rPr>
              <w:t>115,647</w:t>
            </w:r>
            <w:r w:rsidR="00BF050C" w:rsidRPr="00BF23D1">
              <w:rPr>
                <w:color w:val="44546A" w:themeColor="text2"/>
              </w:rPr>
              <w:t>)</w:t>
            </w:r>
          </w:p>
          <w:p w14:paraId="4C972BCE" w14:textId="77777777" w:rsidR="00BF050C" w:rsidRPr="008F0D85" w:rsidRDefault="00BF050C" w:rsidP="00BF050C">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BF050C" w:rsidRPr="00B43CF5" w14:paraId="478C409F" w14:textId="77777777" w:rsidTr="00BF050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48BD058C" w14:textId="5FA87ED1" w:rsidR="00BF050C" w:rsidRPr="00B43CF5" w:rsidRDefault="00BF050C" w:rsidP="00BF050C">
            <w:r w:rsidRPr="00B43CF5">
              <w:t>Calculation</w:t>
            </w:r>
            <w:r w:rsidR="00C146F2">
              <w:t xml:space="preserve"> method</w:t>
            </w:r>
          </w:p>
        </w:tc>
        <w:tc>
          <w:tcPr>
            <w:tcW w:w="6520" w:type="dxa"/>
            <w:shd w:val="clear" w:color="auto" w:fill="C3D5D7"/>
          </w:tcPr>
          <w:p w14:paraId="168AA4E1" w14:textId="47E3577D" w:rsidR="00BF050C" w:rsidRPr="008F0D85" w:rsidRDefault="00072180" w:rsidP="00BF050C">
            <w:pPr>
              <w:jc w:val="both"/>
              <w:cnfStyle w:val="000000100000" w:firstRow="0" w:lastRow="0" w:firstColumn="0" w:lastColumn="0" w:oddVBand="0" w:evenVBand="0" w:oddHBand="1" w:evenHBand="0" w:firstRowFirstColumn="0" w:firstRowLastColumn="0" w:lastRowFirstColumn="0" w:lastRowLastColumn="0"/>
              <w:rPr>
                <w:color w:val="44546A" w:themeColor="text2"/>
              </w:rPr>
            </w:pPr>
            <w:r>
              <w:rPr>
                <w:color w:val="44546A" w:themeColor="text2"/>
              </w:rPr>
              <w:t>Supplier-specific method</w:t>
            </w:r>
          </w:p>
          <w:p w14:paraId="5FE3F71F" w14:textId="77777777" w:rsidR="00BF050C" w:rsidRPr="008F0D85" w:rsidRDefault="00BF050C" w:rsidP="00BF050C">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BF050C" w:rsidRPr="00B43CF5" w14:paraId="76196506" w14:textId="77777777" w:rsidTr="00BF050C">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6A97DDDD" w14:textId="77777777" w:rsidR="00BF050C" w:rsidRPr="00B43CF5" w:rsidRDefault="00BF050C" w:rsidP="00BF050C">
            <w:r w:rsidRPr="00B43CF5">
              <w:t>Activity data source</w:t>
            </w:r>
          </w:p>
        </w:tc>
        <w:tc>
          <w:tcPr>
            <w:tcW w:w="6520" w:type="dxa"/>
            <w:shd w:val="clear" w:color="auto" w:fill="E1EAEB"/>
          </w:tcPr>
          <w:p w14:paraId="5F2759C6" w14:textId="69423844" w:rsidR="00BF050C" w:rsidRPr="008F0D85" w:rsidRDefault="00BF050C" w:rsidP="00BF050C">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8F0D85">
              <w:rPr>
                <w:color w:val="44546A" w:themeColor="text2"/>
              </w:rPr>
              <w:t>The activity data provided by our sales department of tonnes of zinc, lead and silver to our customers</w:t>
            </w:r>
            <w:r w:rsidR="004861B6">
              <w:rPr>
                <w:color w:val="44546A" w:themeColor="text2"/>
              </w:rPr>
              <w:t>.</w:t>
            </w:r>
          </w:p>
          <w:p w14:paraId="03ABEFC1" w14:textId="77777777" w:rsidR="00BF050C" w:rsidRPr="008F0D85" w:rsidRDefault="00BF050C" w:rsidP="00BF050C">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8F0D85">
              <w:rPr>
                <w:color w:val="44546A" w:themeColor="text2"/>
              </w:rPr>
              <w:t xml:space="preserve"> </w:t>
            </w:r>
          </w:p>
        </w:tc>
      </w:tr>
      <w:tr w:rsidR="00BF050C" w:rsidRPr="00B43CF5" w14:paraId="4D23C114" w14:textId="77777777" w:rsidTr="0087210A">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474593EF" w14:textId="77777777" w:rsidR="00BF050C" w:rsidRPr="00B43CF5" w:rsidRDefault="00BF050C" w:rsidP="00BF050C">
            <w:r w:rsidRPr="00B43CF5">
              <w:t>Emissions data source</w:t>
            </w:r>
          </w:p>
        </w:tc>
        <w:tc>
          <w:tcPr>
            <w:tcW w:w="6520" w:type="dxa"/>
            <w:shd w:val="clear" w:color="auto" w:fill="C3D5D7"/>
          </w:tcPr>
          <w:p w14:paraId="5349224C" w14:textId="77777777" w:rsidR="00BF050C" w:rsidRPr="008F0D85" w:rsidRDefault="00BF050C" w:rsidP="00BF050C">
            <w:pPr>
              <w:jc w:val="both"/>
              <w:cnfStyle w:val="000000100000" w:firstRow="0" w:lastRow="0" w:firstColumn="0" w:lastColumn="0" w:oddVBand="0" w:evenVBand="0" w:oddHBand="1" w:evenHBand="0" w:firstRowFirstColumn="0" w:firstRowLastColumn="0" w:lastRowFirstColumn="0" w:lastRowLastColumn="0"/>
              <w:rPr>
                <w:color w:val="44546A" w:themeColor="text2"/>
              </w:rPr>
            </w:pPr>
            <w:r>
              <w:rPr>
                <w:color w:val="44546A" w:themeColor="text2"/>
              </w:rPr>
              <w:t>Customer</w:t>
            </w:r>
            <w:r w:rsidRPr="008F0D85">
              <w:rPr>
                <w:color w:val="44546A" w:themeColor="text2"/>
              </w:rPr>
              <w:t xml:space="preserve">-specific emission </w:t>
            </w:r>
            <w:r>
              <w:rPr>
                <w:color w:val="44546A" w:themeColor="text2"/>
              </w:rPr>
              <w:t>received from customers</w:t>
            </w:r>
          </w:p>
          <w:p w14:paraId="37B59BB8" w14:textId="77777777" w:rsidR="00BF050C" w:rsidRPr="008F0D85" w:rsidRDefault="00BF050C" w:rsidP="00BF050C">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bl>
    <w:p w14:paraId="6D0D2A9E" w14:textId="77777777" w:rsidR="000551C7" w:rsidRDefault="000551C7" w:rsidP="00623A5D">
      <w:pPr>
        <w:jc w:val="both"/>
        <w:rPr>
          <w:b/>
          <w:bCs/>
          <w:u w:val="single"/>
        </w:rPr>
      </w:pPr>
    </w:p>
    <w:p w14:paraId="0350DA65" w14:textId="67001DB2" w:rsidR="00623A5D" w:rsidRPr="008F0D85" w:rsidRDefault="00623A5D" w:rsidP="00BF050C">
      <w:pPr>
        <w:pStyle w:val="Heading4"/>
      </w:pPr>
      <w:r w:rsidRPr="008F0D85">
        <w:t>Boundaries</w:t>
      </w:r>
    </w:p>
    <w:p w14:paraId="24F7851A" w14:textId="64F7EB51" w:rsidR="00852DE4" w:rsidRPr="008F0D85" w:rsidRDefault="00981CDE" w:rsidP="00BF050C">
      <w:pPr>
        <w:jc w:val="both"/>
        <w:rPr>
          <w:color w:val="44546A" w:themeColor="text2"/>
        </w:rPr>
      </w:pPr>
      <w:r>
        <w:rPr>
          <w:color w:val="44546A" w:themeColor="text2"/>
        </w:rPr>
        <w:t>This category involves estimating</w:t>
      </w:r>
      <w:r w:rsidR="00DD6D5A" w:rsidRPr="008F0D85">
        <w:rPr>
          <w:color w:val="44546A" w:themeColor="text2"/>
        </w:rPr>
        <w:t xml:space="preserve"> downstream emissions resulting from the processing of CAML’s sold products, predominantly in concentrate form. This processing often occurs during the pyrometallurgical phase at smelters. </w:t>
      </w:r>
    </w:p>
    <w:p w14:paraId="5F4A90DC" w14:textId="02EE4FE1" w:rsidR="00852DE4" w:rsidRPr="008F0D85" w:rsidRDefault="00852DE4" w:rsidP="00BF050C">
      <w:pPr>
        <w:pStyle w:val="Heading4"/>
      </w:pPr>
      <w:r w:rsidRPr="008F0D85">
        <w:t>Calculation method</w:t>
      </w:r>
    </w:p>
    <w:p w14:paraId="00644A7D" w14:textId="20E74FDD" w:rsidR="003B2116" w:rsidRPr="008F0D85" w:rsidRDefault="00852DE4" w:rsidP="00BF050C">
      <w:pPr>
        <w:jc w:val="both"/>
        <w:rPr>
          <w:color w:val="44546A" w:themeColor="text2"/>
        </w:rPr>
      </w:pPr>
      <w:r w:rsidRPr="008F0D85">
        <w:rPr>
          <w:color w:val="44546A" w:themeColor="text2"/>
        </w:rPr>
        <w:t>The activity data c</w:t>
      </w:r>
      <w:r w:rsidR="00981CDE">
        <w:rPr>
          <w:color w:val="44546A" w:themeColor="text2"/>
        </w:rPr>
        <w:t>onsists of</w:t>
      </w:r>
      <w:r w:rsidRPr="008F0D85">
        <w:rPr>
          <w:color w:val="44546A" w:themeColor="text2"/>
        </w:rPr>
        <w:t xml:space="preserve"> the </w:t>
      </w:r>
      <w:r w:rsidR="003757C0">
        <w:rPr>
          <w:color w:val="44546A" w:themeColor="text2"/>
        </w:rPr>
        <w:t xml:space="preserve">assessing the </w:t>
      </w:r>
      <w:r w:rsidRPr="008F0D85">
        <w:rPr>
          <w:color w:val="44546A" w:themeColor="text2"/>
        </w:rPr>
        <w:t>cumulative commodity output from both the Kounrad</w:t>
      </w:r>
      <w:r w:rsidR="00CA31C0">
        <w:rPr>
          <w:color w:val="44546A" w:themeColor="text2"/>
        </w:rPr>
        <w:t xml:space="preserve"> operation</w:t>
      </w:r>
      <w:r w:rsidRPr="008F0D85">
        <w:rPr>
          <w:color w:val="44546A" w:themeColor="text2"/>
        </w:rPr>
        <w:t xml:space="preserve"> and Sasa mine, reported in tonnes. For analysis, a hybrid method is employed. </w:t>
      </w:r>
      <w:r w:rsidR="00E370BF">
        <w:rPr>
          <w:color w:val="44546A" w:themeColor="text2"/>
        </w:rPr>
        <w:t>Customer</w:t>
      </w:r>
      <w:r w:rsidRPr="008F0D85">
        <w:rPr>
          <w:color w:val="44546A" w:themeColor="text2"/>
        </w:rPr>
        <w:t xml:space="preserve">-specific emission factors for </w:t>
      </w:r>
      <w:r w:rsidR="00EA3251">
        <w:rPr>
          <w:color w:val="44546A" w:themeColor="text2"/>
        </w:rPr>
        <w:t xml:space="preserve">sales to customers </w:t>
      </w:r>
      <w:r w:rsidR="00766F48">
        <w:rPr>
          <w:color w:val="44546A" w:themeColor="text2"/>
        </w:rPr>
        <w:t xml:space="preserve">for </w:t>
      </w:r>
      <w:r w:rsidRPr="008F0D85">
        <w:rPr>
          <w:color w:val="44546A" w:themeColor="text2"/>
        </w:rPr>
        <w:t>zinc,</w:t>
      </w:r>
      <w:r w:rsidR="004861B6">
        <w:rPr>
          <w:color w:val="44546A" w:themeColor="text2"/>
        </w:rPr>
        <w:t xml:space="preserve"> lead</w:t>
      </w:r>
      <w:r w:rsidRPr="008F0D85">
        <w:rPr>
          <w:color w:val="44546A" w:themeColor="text2"/>
        </w:rPr>
        <w:t xml:space="preserve"> and silver </w:t>
      </w:r>
      <w:r w:rsidR="00766F48">
        <w:rPr>
          <w:color w:val="44546A" w:themeColor="text2"/>
        </w:rPr>
        <w:t xml:space="preserve">have been </w:t>
      </w:r>
      <w:r w:rsidR="00775DC9">
        <w:rPr>
          <w:color w:val="44546A" w:themeColor="text2"/>
        </w:rPr>
        <w:t>received</w:t>
      </w:r>
      <w:r w:rsidRPr="008F0D85">
        <w:rPr>
          <w:color w:val="44546A" w:themeColor="text2"/>
        </w:rPr>
        <w:t>, with these factors indicating emissions in terms of tonne CO</w:t>
      </w:r>
      <w:r w:rsidRPr="008F0D85">
        <w:rPr>
          <w:color w:val="44546A" w:themeColor="text2"/>
          <w:vertAlign w:val="subscript"/>
        </w:rPr>
        <w:t>2</w:t>
      </w:r>
      <w:r w:rsidRPr="008F0D85">
        <w:rPr>
          <w:color w:val="44546A" w:themeColor="text2"/>
        </w:rPr>
        <w:t xml:space="preserve"> per tonne of commodity</w:t>
      </w:r>
      <w:r w:rsidR="00766F48">
        <w:rPr>
          <w:color w:val="44546A" w:themeColor="text2"/>
        </w:rPr>
        <w:t xml:space="preserve">. </w:t>
      </w:r>
      <w:r w:rsidR="00775DC9">
        <w:rPr>
          <w:color w:val="44546A" w:themeColor="text2"/>
        </w:rPr>
        <w:t>Thi</w:t>
      </w:r>
      <w:r w:rsidR="00766F48">
        <w:rPr>
          <w:color w:val="44546A" w:themeColor="text2"/>
        </w:rPr>
        <w:t xml:space="preserve">s then been </w:t>
      </w:r>
      <w:r w:rsidR="00775DC9">
        <w:rPr>
          <w:color w:val="44546A" w:themeColor="text2"/>
        </w:rPr>
        <w:t>applied using</w:t>
      </w:r>
      <w:r w:rsidR="00EA3251">
        <w:rPr>
          <w:color w:val="44546A" w:themeColor="text2"/>
        </w:rPr>
        <w:t xml:space="preserve"> an average</w:t>
      </w:r>
      <w:r w:rsidR="00D10A59">
        <w:rPr>
          <w:color w:val="44546A" w:themeColor="text2"/>
        </w:rPr>
        <w:t>-</w:t>
      </w:r>
      <w:r w:rsidR="00EA3251">
        <w:rPr>
          <w:color w:val="44546A" w:themeColor="text2"/>
        </w:rPr>
        <w:t xml:space="preserve">data method </w:t>
      </w:r>
      <w:r w:rsidR="00775DC9">
        <w:rPr>
          <w:color w:val="44546A" w:themeColor="text2"/>
        </w:rPr>
        <w:t>for our other customers</w:t>
      </w:r>
      <w:r w:rsidR="003B2116">
        <w:rPr>
          <w:color w:val="44546A" w:themeColor="text2"/>
        </w:rPr>
        <w:t>.</w:t>
      </w:r>
    </w:p>
    <w:p w14:paraId="4FD70D1D" w14:textId="65AAD639" w:rsidR="00623A5D" w:rsidRPr="008F0D85" w:rsidRDefault="00623A5D" w:rsidP="00BF050C">
      <w:pPr>
        <w:pStyle w:val="Heading4"/>
      </w:pPr>
      <w:r w:rsidRPr="008F0D85">
        <w:t>Assumptions</w:t>
      </w:r>
    </w:p>
    <w:p w14:paraId="4B6EC970" w14:textId="43005E2B" w:rsidR="004D6183" w:rsidRDefault="00775DC9" w:rsidP="00BF050C">
      <w:pPr>
        <w:jc w:val="both"/>
        <w:rPr>
          <w:color w:val="44546A" w:themeColor="text2"/>
        </w:rPr>
      </w:pPr>
      <w:r>
        <w:rPr>
          <w:color w:val="44546A" w:themeColor="text2"/>
        </w:rPr>
        <w:t xml:space="preserve">As we produce a final copper </w:t>
      </w:r>
      <w:r w:rsidR="00FC15B6">
        <w:rPr>
          <w:color w:val="44546A" w:themeColor="text2"/>
        </w:rPr>
        <w:t>product</w:t>
      </w:r>
      <w:r w:rsidR="003757C0">
        <w:rPr>
          <w:color w:val="44546A" w:themeColor="text2"/>
        </w:rPr>
        <w:t xml:space="preserve"> at Kounrad</w:t>
      </w:r>
      <w:r w:rsidR="00FC15B6">
        <w:rPr>
          <w:color w:val="44546A" w:themeColor="text2"/>
        </w:rPr>
        <w:t xml:space="preserve">, we have assumed no further emissions arise for </w:t>
      </w:r>
      <w:r w:rsidR="003B2116">
        <w:rPr>
          <w:color w:val="44546A" w:themeColor="text2"/>
        </w:rPr>
        <w:t xml:space="preserve">the </w:t>
      </w:r>
      <w:r w:rsidR="00FC15B6">
        <w:rPr>
          <w:color w:val="44546A" w:themeColor="text2"/>
        </w:rPr>
        <w:t xml:space="preserve">processing our copper.  </w:t>
      </w:r>
    </w:p>
    <w:p w14:paraId="34FE9747" w14:textId="2964BC71" w:rsidR="004D6183" w:rsidRPr="00D62CB9" w:rsidRDefault="004D6183" w:rsidP="00BF050C">
      <w:pPr>
        <w:pStyle w:val="Heading4"/>
      </w:pPr>
      <w:r w:rsidRPr="00D62CB9">
        <w:t>Inclusion and exclusion</w:t>
      </w:r>
    </w:p>
    <w:p w14:paraId="2CE44602" w14:textId="01A77519" w:rsidR="0007726E" w:rsidRDefault="00AA01A4">
      <w:pPr>
        <w:rPr>
          <w:color w:val="44546A" w:themeColor="text2"/>
        </w:rPr>
      </w:pPr>
      <w:r w:rsidRPr="002C3D3F">
        <w:rPr>
          <w:color w:val="44546A" w:themeColor="text2"/>
        </w:rPr>
        <w:t xml:space="preserve">Emissions from copper processing were excluded since CAML sells a final copper product, </w:t>
      </w:r>
      <w:r w:rsidR="00B87397">
        <w:rPr>
          <w:color w:val="44546A" w:themeColor="text2"/>
        </w:rPr>
        <w:t xml:space="preserve">that </w:t>
      </w:r>
      <w:r w:rsidRPr="002C3D3F">
        <w:rPr>
          <w:color w:val="44546A" w:themeColor="text2"/>
        </w:rPr>
        <w:t>requi</w:t>
      </w:r>
      <w:r w:rsidR="00B87397">
        <w:rPr>
          <w:color w:val="44546A" w:themeColor="text2"/>
        </w:rPr>
        <w:t>res</w:t>
      </w:r>
      <w:r w:rsidRPr="002C3D3F">
        <w:rPr>
          <w:color w:val="44546A" w:themeColor="text2"/>
        </w:rPr>
        <w:t xml:space="preserve"> </w:t>
      </w:r>
      <w:r w:rsidR="00422C1D">
        <w:rPr>
          <w:color w:val="44546A" w:themeColor="text2"/>
        </w:rPr>
        <w:t>negligible</w:t>
      </w:r>
      <w:r w:rsidR="00FF0D45" w:rsidRPr="002C3D3F">
        <w:rPr>
          <w:color w:val="44546A" w:themeColor="text2"/>
        </w:rPr>
        <w:t xml:space="preserve"> </w:t>
      </w:r>
      <w:r w:rsidRPr="002C3D3F">
        <w:rPr>
          <w:color w:val="44546A" w:themeColor="text2"/>
        </w:rPr>
        <w:t>further processing.</w:t>
      </w:r>
      <w:r w:rsidR="00E32837">
        <w:rPr>
          <w:color w:val="44546A" w:themeColor="text2"/>
        </w:rPr>
        <w:t xml:space="preserve"> </w:t>
      </w:r>
      <w:r w:rsidR="00FF0D45">
        <w:rPr>
          <w:color w:val="44546A" w:themeColor="text2"/>
        </w:rPr>
        <w:t>N</w:t>
      </w:r>
      <w:r w:rsidR="002F78CB" w:rsidRPr="002F78CB">
        <w:rPr>
          <w:color w:val="44546A" w:themeColor="text2"/>
        </w:rPr>
        <w:t>o</w:t>
      </w:r>
      <w:r w:rsidR="00FF0D45">
        <w:rPr>
          <w:color w:val="44546A" w:themeColor="text2"/>
        </w:rPr>
        <w:t xml:space="preserve"> other</w:t>
      </w:r>
      <w:r w:rsidR="002F78CB" w:rsidRPr="002F78CB">
        <w:rPr>
          <w:color w:val="44546A" w:themeColor="text2"/>
        </w:rPr>
        <w:t xml:space="preserve"> exclusions were made in this category, as all sales were recorded and accounted for; however, where data was unavailable, customer-specific data provided by our clients served as the basis for other sales estimates</w:t>
      </w:r>
      <w:r w:rsidR="0007726E">
        <w:rPr>
          <w:color w:val="44546A" w:themeColor="text2"/>
        </w:rPr>
        <w:br w:type="page"/>
      </w:r>
    </w:p>
    <w:p w14:paraId="22880493" w14:textId="651BD669" w:rsidR="002E3DE8" w:rsidRPr="008F0D85" w:rsidRDefault="002E3DE8" w:rsidP="00BF050C">
      <w:pPr>
        <w:pStyle w:val="Heading3"/>
      </w:pPr>
      <w:bookmarkStart w:id="27" w:name="_Toc194670380"/>
      <w:r w:rsidRPr="002A5188">
        <w:lastRenderedPageBreak/>
        <w:t>Category 11 – Use of sold products</w:t>
      </w:r>
      <w:bookmarkEnd w:id="27"/>
      <w:r w:rsidRPr="008F0D85">
        <w:t xml:space="preserve"> </w:t>
      </w:r>
    </w:p>
    <w:tbl>
      <w:tblPr>
        <w:tblStyle w:val="GridTable5Dark-Accent2"/>
        <w:tblpPr w:leftFromText="180" w:rightFromText="180" w:vertAnchor="text" w:horzAnchor="margin" w:tblpY="255"/>
        <w:tblW w:w="9067" w:type="dxa"/>
        <w:tblLook w:val="04A0" w:firstRow="1" w:lastRow="0" w:firstColumn="1" w:lastColumn="0" w:noHBand="0" w:noVBand="1"/>
      </w:tblPr>
      <w:tblGrid>
        <w:gridCol w:w="2547"/>
        <w:gridCol w:w="6520"/>
      </w:tblGrid>
      <w:tr w:rsidR="002E3DE8" w:rsidRPr="00B43CF5" w14:paraId="7760E872" w14:textId="77777777" w:rsidTr="00BF050C">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3E5C60"/>
          </w:tcPr>
          <w:p w14:paraId="785887DC" w14:textId="77777777" w:rsidR="002E3DE8" w:rsidRPr="00B43CF5" w:rsidRDefault="002E3DE8" w:rsidP="000551C7">
            <w:pPr>
              <w:jc w:val="both"/>
            </w:pPr>
            <w:r w:rsidRPr="00B43CF5">
              <w:t>Category 11</w:t>
            </w:r>
          </w:p>
        </w:tc>
      </w:tr>
      <w:tr w:rsidR="002E3DE8" w:rsidRPr="00B43CF5" w14:paraId="4CB0F68E" w14:textId="77777777" w:rsidTr="00BF05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5BC26269" w14:textId="77777777" w:rsidR="002E3DE8" w:rsidRPr="00B43CF5" w:rsidRDefault="002E3DE8" w:rsidP="000551C7">
            <w:r w:rsidRPr="00B43CF5">
              <w:t>Description</w:t>
            </w:r>
          </w:p>
        </w:tc>
        <w:tc>
          <w:tcPr>
            <w:tcW w:w="6520" w:type="dxa"/>
            <w:shd w:val="clear" w:color="auto" w:fill="C3D5D7"/>
          </w:tcPr>
          <w:p w14:paraId="62EA169D" w14:textId="59CC9208" w:rsidR="002E3DE8" w:rsidRPr="008F0D85" w:rsidRDefault="002E3DE8"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 xml:space="preserve">Emissions from the end use of </w:t>
            </w:r>
            <w:r w:rsidR="00017EB8" w:rsidRPr="008F0D85">
              <w:rPr>
                <w:color w:val="44546A" w:themeColor="text2"/>
              </w:rPr>
              <w:t>copper</w:t>
            </w:r>
            <w:r w:rsidRPr="008F0D85">
              <w:rPr>
                <w:color w:val="44546A" w:themeColor="text2"/>
              </w:rPr>
              <w:t>, zinc, lead and silver in the reporting year</w:t>
            </w:r>
            <w:r w:rsidR="00894193">
              <w:rPr>
                <w:color w:val="44546A" w:themeColor="text2"/>
              </w:rPr>
              <w:t>.</w:t>
            </w:r>
          </w:p>
          <w:p w14:paraId="610D0CCD" w14:textId="26749E4F" w:rsidR="003E1CE0" w:rsidRPr="008F0D85" w:rsidRDefault="003E1CE0"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2E3DE8" w:rsidRPr="00B43CF5" w14:paraId="268AD978" w14:textId="77777777" w:rsidTr="00BF050C">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3BEF7682" w14:textId="77777777" w:rsidR="002E3DE8" w:rsidRPr="00B43CF5" w:rsidRDefault="002E3DE8" w:rsidP="000551C7">
            <w:r w:rsidRPr="0052529A">
              <w:t>Emissions (</w:t>
            </w:r>
            <w:r w:rsidRPr="008F0D85">
              <w:rPr>
                <w:rFonts w:eastAsia="Times New Roman"/>
              </w:rPr>
              <w:t>tCO</w:t>
            </w:r>
            <w:r w:rsidRPr="008F0D85">
              <w:rPr>
                <w:rFonts w:eastAsia="Times New Roman"/>
                <w:vertAlign w:val="subscript"/>
              </w:rPr>
              <w:t>2</w:t>
            </w:r>
            <w:r w:rsidRPr="008F0D85">
              <w:rPr>
                <w:rFonts w:eastAsia="Times New Roman"/>
              </w:rPr>
              <w:t>e)</w:t>
            </w:r>
          </w:p>
        </w:tc>
        <w:tc>
          <w:tcPr>
            <w:tcW w:w="6520" w:type="dxa"/>
            <w:shd w:val="clear" w:color="auto" w:fill="E1EAEB"/>
          </w:tcPr>
          <w:p w14:paraId="131EC2A6" w14:textId="02CAFC36" w:rsidR="002E3DE8" w:rsidRPr="000B6C1A" w:rsidRDefault="00DC740E" w:rsidP="000551C7">
            <w:pPr>
              <w:jc w:val="both"/>
              <w:cnfStyle w:val="000000000000" w:firstRow="0" w:lastRow="0" w:firstColumn="0" w:lastColumn="0" w:oddVBand="0" w:evenVBand="0" w:oddHBand="0" w:evenHBand="0" w:firstRowFirstColumn="0" w:firstRowLastColumn="0" w:lastRowFirstColumn="0" w:lastRowLastColumn="0"/>
              <w:rPr>
                <w:color w:val="44546A" w:themeColor="text2"/>
              </w:rPr>
            </w:pPr>
            <w:r>
              <w:rPr>
                <w:color w:val="44546A" w:themeColor="text2"/>
              </w:rPr>
              <w:t>58</w:t>
            </w:r>
            <w:r w:rsidR="008F4D0C">
              <w:rPr>
                <w:color w:val="44546A" w:themeColor="text2"/>
              </w:rPr>
              <w:t>,</w:t>
            </w:r>
            <w:r>
              <w:rPr>
                <w:color w:val="44546A" w:themeColor="text2"/>
              </w:rPr>
              <w:t>339</w:t>
            </w:r>
            <w:r w:rsidR="008F4D0C">
              <w:rPr>
                <w:color w:val="44546A" w:themeColor="text2"/>
              </w:rPr>
              <w:t xml:space="preserve"> </w:t>
            </w:r>
            <w:r w:rsidR="002E3DE8" w:rsidRPr="000B6C1A">
              <w:rPr>
                <w:color w:val="44546A" w:themeColor="text2"/>
              </w:rPr>
              <w:t>(202</w:t>
            </w:r>
            <w:r w:rsidR="00BF23D1" w:rsidRPr="00DA35A0">
              <w:rPr>
                <w:color w:val="44546A" w:themeColor="text2"/>
              </w:rPr>
              <w:t>3</w:t>
            </w:r>
            <w:r w:rsidR="002E3DE8" w:rsidRPr="000B6C1A">
              <w:rPr>
                <w:color w:val="44546A" w:themeColor="text2"/>
              </w:rPr>
              <w:t xml:space="preserve">: </w:t>
            </w:r>
            <w:r>
              <w:rPr>
                <w:color w:val="44546A" w:themeColor="text2"/>
              </w:rPr>
              <w:t>62</w:t>
            </w:r>
            <w:r w:rsidR="00BF23D1" w:rsidRPr="002C3D3F">
              <w:rPr>
                <w:color w:val="44546A" w:themeColor="text2"/>
              </w:rPr>
              <w:t>,</w:t>
            </w:r>
            <w:r>
              <w:rPr>
                <w:color w:val="44546A" w:themeColor="text2"/>
              </w:rPr>
              <w:t>708</w:t>
            </w:r>
            <w:r w:rsidR="002E3DE8" w:rsidRPr="000B6C1A">
              <w:rPr>
                <w:color w:val="44546A" w:themeColor="text2"/>
              </w:rPr>
              <w:t>)</w:t>
            </w:r>
          </w:p>
          <w:p w14:paraId="6CA239A8" w14:textId="56B5AF9B" w:rsidR="00852DE4" w:rsidRPr="000B6C1A" w:rsidRDefault="00852DE4" w:rsidP="000551C7">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2E3DE8" w:rsidRPr="00B43CF5" w14:paraId="39C2B2D5" w14:textId="77777777" w:rsidTr="00BF050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37C598C0" w14:textId="2F792253" w:rsidR="002E3DE8" w:rsidRPr="00B43CF5" w:rsidRDefault="002E3DE8" w:rsidP="000551C7">
            <w:r w:rsidRPr="00B43CF5">
              <w:t>Calculation</w:t>
            </w:r>
            <w:r w:rsidR="00C146F2">
              <w:t xml:space="preserve"> method</w:t>
            </w:r>
          </w:p>
        </w:tc>
        <w:tc>
          <w:tcPr>
            <w:tcW w:w="6520" w:type="dxa"/>
            <w:shd w:val="clear" w:color="auto" w:fill="C3D5D7"/>
          </w:tcPr>
          <w:p w14:paraId="1E75FF42" w14:textId="53C21EA4" w:rsidR="002E3DE8" w:rsidRPr="008F0D85" w:rsidRDefault="002E3DE8"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Average</w:t>
            </w:r>
            <w:r w:rsidR="00D10A59">
              <w:rPr>
                <w:color w:val="44546A" w:themeColor="text2"/>
              </w:rPr>
              <w:t>-</w:t>
            </w:r>
            <w:r w:rsidRPr="008F0D85">
              <w:rPr>
                <w:color w:val="44546A" w:themeColor="text2"/>
              </w:rPr>
              <w:t>data method</w:t>
            </w:r>
          </w:p>
          <w:p w14:paraId="3281D485" w14:textId="678CC532" w:rsidR="00852DE4" w:rsidRPr="008F0D85" w:rsidRDefault="00852DE4"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2E3DE8" w:rsidRPr="00B43CF5" w14:paraId="41279881" w14:textId="77777777" w:rsidTr="00BF050C">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7D5357E9" w14:textId="77777777" w:rsidR="002E3DE8" w:rsidRPr="00B43CF5" w:rsidRDefault="002E3DE8" w:rsidP="000551C7">
            <w:r w:rsidRPr="00B43CF5">
              <w:t>Activity data source</w:t>
            </w:r>
          </w:p>
        </w:tc>
        <w:tc>
          <w:tcPr>
            <w:tcW w:w="6520" w:type="dxa"/>
            <w:shd w:val="clear" w:color="auto" w:fill="E1EAEB"/>
          </w:tcPr>
          <w:p w14:paraId="69C9B67A" w14:textId="5F9A3673" w:rsidR="002E3DE8" w:rsidRPr="008F0D85" w:rsidRDefault="002E3DE8" w:rsidP="000551C7">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8F0D85">
              <w:rPr>
                <w:color w:val="44546A" w:themeColor="text2"/>
              </w:rPr>
              <w:t>The activity data provided by our sales department of total tonnes of copper, zinc, lead and silver to our various customers during the year</w:t>
            </w:r>
            <w:r w:rsidR="002D33AB">
              <w:rPr>
                <w:color w:val="44546A" w:themeColor="text2"/>
              </w:rPr>
              <w:t>.</w:t>
            </w:r>
          </w:p>
          <w:p w14:paraId="70B093EB" w14:textId="39D6355B" w:rsidR="00852DE4" w:rsidRPr="008F0D85" w:rsidRDefault="00852DE4" w:rsidP="000551C7">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2E3DE8" w:rsidRPr="00B43CF5" w14:paraId="095E040D" w14:textId="77777777" w:rsidTr="00BF050C">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27127517" w14:textId="77777777" w:rsidR="002E3DE8" w:rsidRPr="00B43CF5" w:rsidRDefault="002E3DE8" w:rsidP="000551C7">
            <w:r w:rsidRPr="00B43CF5">
              <w:t>Emissions data source</w:t>
            </w:r>
          </w:p>
        </w:tc>
        <w:tc>
          <w:tcPr>
            <w:tcW w:w="6520" w:type="dxa"/>
            <w:shd w:val="clear" w:color="auto" w:fill="C3D5D7"/>
          </w:tcPr>
          <w:p w14:paraId="41EADF39" w14:textId="38BC820F" w:rsidR="002E3DE8" w:rsidRPr="008F0D85" w:rsidRDefault="002E3DE8" w:rsidP="000551C7">
            <w:pPr>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The International Lead and Zinc Study Group</w:t>
            </w:r>
            <w:r w:rsidR="004446A0">
              <w:rPr>
                <w:rStyle w:val="FootnoteReference"/>
                <w:color w:val="44546A" w:themeColor="text2"/>
              </w:rPr>
              <w:footnoteReference w:id="34"/>
            </w:r>
            <w:r w:rsidR="00E854EB">
              <w:rPr>
                <w:color w:val="44546A" w:themeColor="text2"/>
              </w:rPr>
              <w:t>,</w:t>
            </w:r>
            <w:r w:rsidR="00B60FBE">
              <w:rPr>
                <w:color w:val="44546A" w:themeColor="text2"/>
              </w:rPr>
              <w:t xml:space="preserve"> </w:t>
            </w:r>
            <w:r w:rsidR="00852DE4" w:rsidRPr="008F0D85">
              <w:rPr>
                <w:color w:val="44546A" w:themeColor="text2"/>
              </w:rPr>
              <w:t>li</w:t>
            </w:r>
            <w:r w:rsidRPr="008F0D85">
              <w:rPr>
                <w:color w:val="44546A" w:themeColor="text2"/>
              </w:rPr>
              <w:t>terature on the lead</w:t>
            </w:r>
            <w:r w:rsidR="00CE3FF3">
              <w:rPr>
                <w:rStyle w:val="FootnoteReference"/>
                <w:color w:val="44546A" w:themeColor="text2"/>
              </w:rPr>
              <w:footnoteReference w:id="35"/>
            </w:r>
            <w:r w:rsidR="00226C45">
              <w:rPr>
                <w:color w:val="44546A" w:themeColor="text2"/>
              </w:rPr>
              <w:t>, copper</w:t>
            </w:r>
            <w:r w:rsidR="00110608">
              <w:rPr>
                <w:rStyle w:val="FootnoteReference"/>
                <w:color w:val="44546A" w:themeColor="text2"/>
              </w:rPr>
              <w:footnoteReference w:id="36"/>
            </w:r>
            <w:r w:rsidR="00226C45">
              <w:rPr>
                <w:color w:val="44546A" w:themeColor="text2"/>
              </w:rPr>
              <w:t xml:space="preserve"> </w:t>
            </w:r>
            <w:r w:rsidR="00E854EB" w:rsidRPr="000B6C1A">
              <w:rPr>
                <w:color w:val="44546A" w:themeColor="text2"/>
              </w:rPr>
              <w:t>and silver industr</w:t>
            </w:r>
            <w:r w:rsidR="00226C45" w:rsidRPr="002C3D3F">
              <w:rPr>
                <w:color w:val="44546A" w:themeColor="text2"/>
              </w:rPr>
              <w:t>ies</w:t>
            </w:r>
            <w:r w:rsidR="00662ABB" w:rsidRPr="002C3D3F">
              <w:rPr>
                <w:rStyle w:val="FootnoteReference"/>
                <w:color w:val="44546A" w:themeColor="text2"/>
              </w:rPr>
              <w:footnoteReference w:id="37"/>
            </w:r>
            <w:r w:rsidRPr="000B6C1A">
              <w:rPr>
                <w:color w:val="44546A" w:themeColor="text2"/>
              </w:rPr>
              <w:t xml:space="preserve"> life</w:t>
            </w:r>
            <w:r w:rsidRPr="008F0D85">
              <w:rPr>
                <w:color w:val="44546A" w:themeColor="text2"/>
              </w:rPr>
              <w:t xml:space="preserve"> cycle</w:t>
            </w:r>
            <w:r w:rsidR="002D33AB">
              <w:rPr>
                <w:color w:val="44546A" w:themeColor="text2"/>
              </w:rPr>
              <w:t>.</w:t>
            </w:r>
            <w:r w:rsidR="00286373" w:rsidRPr="008F0D85">
              <w:rPr>
                <w:color w:val="44546A" w:themeColor="text2"/>
              </w:rPr>
              <w:t xml:space="preserve"> </w:t>
            </w:r>
          </w:p>
          <w:p w14:paraId="72357F35" w14:textId="0C8ABFC0" w:rsidR="00852DE4" w:rsidRPr="008F0D85" w:rsidRDefault="00852DE4" w:rsidP="000551C7">
            <w:pPr>
              <w:cnfStyle w:val="000000100000" w:firstRow="0" w:lastRow="0" w:firstColumn="0" w:lastColumn="0" w:oddVBand="0" w:evenVBand="0" w:oddHBand="1" w:evenHBand="0" w:firstRowFirstColumn="0" w:firstRowLastColumn="0" w:lastRowFirstColumn="0" w:lastRowLastColumn="0"/>
              <w:rPr>
                <w:color w:val="44546A" w:themeColor="text2"/>
              </w:rPr>
            </w:pPr>
          </w:p>
        </w:tc>
      </w:tr>
    </w:tbl>
    <w:p w14:paraId="7757D955" w14:textId="77777777" w:rsidR="000551C7" w:rsidRDefault="000551C7" w:rsidP="00623A5D">
      <w:pPr>
        <w:jc w:val="both"/>
        <w:rPr>
          <w:b/>
          <w:bCs/>
          <w:u w:val="single"/>
        </w:rPr>
      </w:pPr>
    </w:p>
    <w:p w14:paraId="69F3C997" w14:textId="755FCD67" w:rsidR="00623A5D" w:rsidRPr="008F0D85" w:rsidRDefault="00623A5D" w:rsidP="00BF050C">
      <w:pPr>
        <w:pStyle w:val="Heading4"/>
      </w:pPr>
      <w:r w:rsidRPr="008F0D85">
        <w:t>Boundaries</w:t>
      </w:r>
    </w:p>
    <w:p w14:paraId="6B5CBE8F" w14:textId="6E0A76EF" w:rsidR="00BF050C" w:rsidRDefault="00E07D44" w:rsidP="00BF050C">
      <w:pPr>
        <w:jc w:val="both"/>
        <w:rPr>
          <w:color w:val="44546A" w:themeColor="text2"/>
        </w:rPr>
      </w:pPr>
      <w:r w:rsidRPr="008F0D85">
        <w:rPr>
          <w:color w:val="44546A" w:themeColor="text2"/>
        </w:rPr>
        <w:t xml:space="preserve">This category </w:t>
      </w:r>
      <w:r w:rsidR="000B3DE2">
        <w:rPr>
          <w:color w:val="44546A" w:themeColor="text2"/>
        </w:rPr>
        <w:t>is an estimation of</w:t>
      </w:r>
      <w:r w:rsidRPr="008F0D85">
        <w:rPr>
          <w:color w:val="44546A" w:themeColor="text2"/>
        </w:rPr>
        <w:t xml:space="preserve"> the downstream emissions </w:t>
      </w:r>
      <w:r w:rsidR="000B3DE2">
        <w:rPr>
          <w:color w:val="44546A" w:themeColor="text2"/>
        </w:rPr>
        <w:t>originating</w:t>
      </w:r>
      <w:r w:rsidR="000B3DE2" w:rsidRPr="008F0D85">
        <w:rPr>
          <w:color w:val="44546A" w:themeColor="text2"/>
        </w:rPr>
        <w:t xml:space="preserve"> </w:t>
      </w:r>
      <w:r w:rsidRPr="008F0D85">
        <w:rPr>
          <w:color w:val="44546A" w:themeColor="text2"/>
        </w:rPr>
        <w:t xml:space="preserve">from the consumption of sold products beyond the processing stage. </w:t>
      </w:r>
      <w:r w:rsidR="000B3DE2">
        <w:rPr>
          <w:color w:val="44546A" w:themeColor="text2"/>
        </w:rPr>
        <w:t xml:space="preserve">These </w:t>
      </w:r>
      <w:r w:rsidRPr="008F0D85">
        <w:rPr>
          <w:color w:val="44546A" w:themeColor="text2"/>
        </w:rPr>
        <w:t xml:space="preserve">emissions </w:t>
      </w:r>
      <w:r w:rsidR="000B3DE2">
        <w:rPr>
          <w:color w:val="44546A" w:themeColor="text2"/>
        </w:rPr>
        <w:t>arise</w:t>
      </w:r>
      <w:r w:rsidR="000B3DE2" w:rsidRPr="008F0D85">
        <w:rPr>
          <w:color w:val="44546A" w:themeColor="text2"/>
        </w:rPr>
        <w:t xml:space="preserve"> </w:t>
      </w:r>
      <w:r w:rsidRPr="008F0D85">
        <w:rPr>
          <w:color w:val="44546A" w:themeColor="text2"/>
        </w:rPr>
        <w:t>as plants and facilities convert</w:t>
      </w:r>
      <w:r w:rsidR="002D33AB">
        <w:rPr>
          <w:color w:val="44546A" w:themeColor="text2"/>
        </w:rPr>
        <w:t xml:space="preserve"> the metals</w:t>
      </w:r>
      <w:r w:rsidRPr="008F0D85">
        <w:rPr>
          <w:color w:val="44546A" w:themeColor="text2"/>
        </w:rPr>
        <w:t xml:space="preserve"> into final usable products. </w:t>
      </w:r>
      <w:r w:rsidR="00D1596F">
        <w:rPr>
          <w:color w:val="44546A" w:themeColor="text2"/>
        </w:rPr>
        <w:t xml:space="preserve">For </w:t>
      </w:r>
      <w:r w:rsidR="008F0D85">
        <w:rPr>
          <w:color w:val="44546A" w:themeColor="text2"/>
        </w:rPr>
        <w:t>example,</w:t>
      </w:r>
      <w:r w:rsidR="00D1596F">
        <w:rPr>
          <w:color w:val="44546A" w:themeColor="text2"/>
        </w:rPr>
        <w:t xml:space="preserve"> the</w:t>
      </w:r>
      <w:r w:rsidRPr="008F0D85">
        <w:rPr>
          <w:color w:val="44546A" w:themeColor="text2"/>
        </w:rPr>
        <w:t xml:space="preserve"> lead concentrate</w:t>
      </w:r>
      <w:r w:rsidR="00D1596F">
        <w:rPr>
          <w:color w:val="44546A" w:themeColor="text2"/>
        </w:rPr>
        <w:t xml:space="preserve"> which has been smelted </w:t>
      </w:r>
      <w:r w:rsidR="007C6F5D">
        <w:rPr>
          <w:color w:val="44546A" w:themeColor="text2"/>
        </w:rPr>
        <w:t>and refined is now ca</w:t>
      </w:r>
      <w:r w:rsidR="00463A1C">
        <w:rPr>
          <w:color w:val="44546A" w:themeColor="text2"/>
        </w:rPr>
        <w:t>s</w:t>
      </w:r>
      <w:r w:rsidR="007C6F5D">
        <w:rPr>
          <w:color w:val="44546A" w:themeColor="text2"/>
        </w:rPr>
        <w:t>t into commercial-ready form like ingots</w:t>
      </w:r>
      <w:r w:rsidR="00463A1C">
        <w:rPr>
          <w:color w:val="44546A" w:themeColor="text2"/>
        </w:rPr>
        <w:t xml:space="preserve">. </w:t>
      </w:r>
      <w:r w:rsidRPr="008F0D85">
        <w:rPr>
          <w:color w:val="44546A" w:themeColor="text2"/>
        </w:rPr>
        <w:t>These lead ingots then find their way into the hands of manufacturers</w:t>
      </w:r>
      <w:r w:rsidR="002655D1">
        <w:rPr>
          <w:color w:val="44546A" w:themeColor="text2"/>
        </w:rPr>
        <w:t>, such as</w:t>
      </w:r>
      <w:r w:rsidRPr="008F0D85">
        <w:rPr>
          <w:color w:val="44546A" w:themeColor="text2"/>
        </w:rPr>
        <w:t xml:space="preserve">, a battery manufacturer </w:t>
      </w:r>
      <w:proofErr w:type="gramStart"/>
      <w:r w:rsidR="00B5699A">
        <w:rPr>
          <w:color w:val="44546A" w:themeColor="text2"/>
        </w:rPr>
        <w:t xml:space="preserve">that </w:t>
      </w:r>
      <w:r w:rsidRPr="008F0D85">
        <w:rPr>
          <w:color w:val="44546A" w:themeColor="text2"/>
        </w:rPr>
        <w:t xml:space="preserve"> harness</w:t>
      </w:r>
      <w:proofErr w:type="gramEnd"/>
      <w:r w:rsidRPr="008F0D85">
        <w:rPr>
          <w:color w:val="44546A" w:themeColor="text2"/>
        </w:rPr>
        <w:t xml:space="preserve"> th</w:t>
      </w:r>
      <w:r w:rsidR="00B5699A">
        <w:rPr>
          <w:color w:val="44546A" w:themeColor="text2"/>
        </w:rPr>
        <w:t>e</w:t>
      </w:r>
      <w:r w:rsidRPr="008F0D85">
        <w:rPr>
          <w:color w:val="44546A" w:themeColor="text2"/>
        </w:rPr>
        <w:t xml:space="preserve"> </w:t>
      </w:r>
      <w:r w:rsidR="00DC51F6" w:rsidRPr="008F0D85">
        <w:rPr>
          <w:color w:val="44546A" w:themeColor="text2"/>
        </w:rPr>
        <w:t>le</w:t>
      </w:r>
      <w:r w:rsidR="00B5699A">
        <w:rPr>
          <w:color w:val="44546A" w:themeColor="text2"/>
        </w:rPr>
        <w:t>a</w:t>
      </w:r>
      <w:r w:rsidR="00DC51F6" w:rsidRPr="008F0D85">
        <w:rPr>
          <w:color w:val="44546A" w:themeColor="text2"/>
        </w:rPr>
        <w:t>d</w:t>
      </w:r>
      <w:r w:rsidRPr="008F0D85">
        <w:rPr>
          <w:color w:val="44546A" w:themeColor="text2"/>
        </w:rPr>
        <w:t xml:space="preserve"> to construct both the positive and negative terminals of a lead-based battery. </w:t>
      </w:r>
    </w:p>
    <w:p w14:paraId="349B0A95" w14:textId="4CA83096" w:rsidR="00852DE4" w:rsidRPr="00BF050C" w:rsidRDefault="00852DE4" w:rsidP="00BF050C">
      <w:pPr>
        <w:jc w:val="both"/>
        <w:rPr>
          <w:color w:val="44546A" w:themeColor="text2"/>
        </w:rPr>
      </w:pPr>
      <w:r w:rsidRPr="00BF050C">
        <w:rPr>
          <w:rStyle w:val="Heading4Char"/>
        </w:rPr>
        <w:t>Calculation method</w:t>
      </w:r>
    </w:p>
    <w:p w14:paraId="303F04B6" w14:textId="793886C2" w:rsidR="000551C7" w:rsidRPr="00BF050C" w:rsidRDefault="00B5699A" w:rsidP="00723BC1">
      <w:pPr>
        <w:jc w:val="both"/>
        <w:rPr>
          <w:color w:val="44546A" w:themeColor="text2"/>
        </w:rPr>
      </w:pPr>
      <w:r>
        <w:rPr>
          <w:color w:val="44546A" w:themeColor="text2"/>
        </w:rPr>
        <w:t>An a</w:t>
      </w:r>
      <w:r w:rsidR="00852DE4" w:rsidRPr="008F0D85">
        <w:rPr>
          <w:color w:val="44546A" w:themeColor="text2"/>
        </w:rPr>
        <w:t>verage</w:t>
      </w:r>
      <w:r w:rsidR="00D10A59">
        <w:rPr>
          <w:color w:val="44546A" w:themeColor="text2"/>
        </w:rPr>
        <w:t>-</w:t>
      </w:r>
      <w:r w:rsidR="00852DE4" w:rsidRPr="008F0D85">
        <w:rPr>
          <w:color w:val="44546A" w:themeColor="text2"/>
        </w:rPr>
        <w:t xml:space="preserve">data method is used </w:t>
      </w:r>
      <w:r>
        <w:rPr>
          <w:color w:val="44546A" w:themeColor="text2"/>
        </w:rPr>
        <w:t>for</w:t>
      </w:r>
      <w:r w:rsidR="00852DE4" w:rsidRPr="008F0D85">
        <w:rPr>
          <w:color w:val="44546A" w:themeColor="text2"/>
        </w:rPr>
        <w:t xml:space="preserve"> our total tonnes of commodities sold during the</w:t>
      </w:r>
      <w:r>
        <w:rPr>
          <w:color w:val="44546A" w:themeColor="text2"/>
        </w:rPr>
        <w:t xml:space="preserve"> reporting</w:t>
      </w:r>
      <w:r w:rsidR="00852DE4" w:rsidRPr="008F0D85">
        <w:rPr>
          <w:color w:val="44546A" w:themeColor="text2"/>
        </w:rPr>
        <w:t xml:space="preserve"> year. The emission</w:t>
      </w:r>
      <w:r>
        <w:rPr>
          <w:color w:val="44546A" w:themeColor="text2"/>
        </w:rPr>
        <w:t>s</w:t>
      </w:r>
      <w:r w:rsidR="00852DE4" w:rsidRPr="008F0D85">
        <w:rPr>
          <w:color w:val="44546A" w:themeColor="text2"/>
        </w:rPr>
        <w:t xml:space="preserve"> for each commodity </w:t>
      </w:r>
      <w:r w:rsidR="00900A35">
        <w:rPr>
          <w:color w:val="44546A" w:themeColor="text2"/>
        </w:rPr>
        <w:t>are</w:t>
      </w:r>
      <w:r w:rsidR="00852DE4" w:rsidRPr="008F0D85">
        <w:rPr>
          <w:color w:val="44546A" w:themeColor="text2"/>
        </w:rPr>
        <w:t xml:space="preserve"> </w:t>
      </w:r>
      <w:r w:rsidR="008F0D85">
        <w:rPr>
          <w:color w:val="44546A" w:themeColor="text2"/>
        </w:rPr>
        <w:t>estimated</w:t>
      </w:r>
      <w:r w:rsidR="00852DE4" w:rsidRPr="008F0D85">
        <w:rPr>
          <w:color w:val="44546A" w:themeColor="text2"/>
        </w:rPr>
        <w:t xml:space="preserve"> using industry data</w:t>
      </w:r>
      <w:r w:rsidR="000D3BB1">
        <w:rPr>
          <w:color w:val="44546A" w:themeColor="text2"/>
        </w:rPr>
        <w:t xml:space="preserve">, </w:t>
      </w:r>
      <w:r w:rsidR="00852DE4" w:rsidRPr="008F0D85">
        <w:rPr>
          <w:color w:val="44546A" w:themeColor="text2"/>
        </w:rPr>
        <w:t>assumptions have been applied with an average CO</w:t>
      </w:r>
      <w:r w:rsidR="00852DE4" w:rsidRPr="008F0D85">
        <w:rPr>
          <w:color w:val="44546A" w:themeColor="text2"/>
          <w:vertAlign w:val="subscript"/>
        </w:rPr>
        <w:t>2</w:t>
      </w:r>
      <w:r w:rsidR="00852DE4" w:rsidRPr="008F0D85">
        <w:rPr>
          <w:color w:val="44546A" w:themeColor="text2"/>
        </w:rPr>
        <w:t xml:space="preserve"> emissions applied to each tonne of our commodities sold. </w:t>
      </w:r>
    </w:p>
    <w:p w14:paraId="488986E4" w14:textId="4F76F3F8" w:rsidR="00623A5D" w:rsidRPr="008F0D85" w:rsidRDefault="00623A5D" w:rsidP="00723BC1">
      <w:pPr>
        <w:pStyle w:val="Heading4"/>
        <w:jc w:val="both"/>
      </w:pPr>
      <w:r w:rsidRPr="008F0D85">
        <w:t>Assumptions</w:t>
      </w:r>
    </w:p>
    <w:p w14:paraId="3F6E95BB" w14:textId="0896C1E2" w:rsidR="00DC51F6" w:rsidRDefault="00AC24EC" w:rsidP="00723BC1">
      <w:pPr>
        <w:jc w:val="both"/>
        <w:rPr>
          <w:color w:val="44546A" w:themeColor="text2"/>
        </w:rPr>
      </w:pPr>
      <w:r>
        <w:rPr>
          <w:color w:val="44546A" w:themeColor="text2"/>
        </w:rPr>
        <w:t xml:space="preserve">Due to the </w:t>
      </w:r>
      <w:r w:rsidR="00B50BC3">
        <w:rPr>
          <w:color w:val="44546A" w:themeColor="text2"/>
        </w:rPr>
        <w:t xml:space="preserve">lack </w:t>
      </w:r>
      <w:r>
        <w:rPr>
          <w:color w:val="44546A" w:themeColor="text2"/>
        </w:rPr>
        <w:t xml:space="preserve">of </w:t>
      </w:r>
      <w:r w:rsidR="00B50BC3">
        <w:rPr>
          <w:color w:val="44546A" w:themeColor="text2"/>
        </w:rPr>
        <w:t xml:space="preserve">precise information regarding the specific uses of our </w:t>
      </w:r>
      <w:r w:rsidR="008F0D85">
        <w:rPr>
          <w:color w:val="44546A" w:themeColor="text2"/>
        </w:rPr>
        <w:t>final produc</w:t>
      </w:r>
      <w:r w:rsidR="00A9347E">
        <w:rPr>
          <w:color w:val="44546A" w:themeColor="text2"/>
        </w:rPr>
        <w:t xml:space="preserve">ts, </w:t>
      </w:r>
      <w:r w:rsidR="00A9347E" w:rsidRPr="003D2171">
        <w:rPr>
          <w:color w:val="44546A" w:themeColor="text2"/>
        </w:rPr>
        <w:t xml:space="preserve">category 11 </w:t>
      </w:r>
      <w:r w:rsidR="008F0D85" w:rsidRPr="003D2171">
        <w:rPr>
          <w:color w:val="44546A" w:themeColor="text2"/>
        </w:rPr>
        <w:t xml:space="preserve">is </w:t>
      </w:r>
      <w:proofErr w:type="gramStart"/>
      <w:r w:rsidR="008F0D85" w:rsidRPr="003D2171">
        <w:rPr>
          <w:color w:val="44546A" w:themeColor="text2"/>
        </w:rPr>
        <w:t xml:space="preserve">based </w:t>
      </w:r>
      <w:r w:rsidR="00310E2B">
        <w:rPr>
          <w:color w:val="44546A" w:themeColor="text2"/>
        </w:rPr>
        <w:t xml:space="preserve"> on</w:t>
      </w:r>
      <w:proofErr w:type="gramEnd"/>
      <w:r w:rsidR="008F0D85" w:rsidRPr="003D2171">
        <w:rPr>
          <w:color w:val="44546A" w:themeColor="text2"/>
        </w:rPr>
        <w:t xml:space="preserve"> industry averages. </w:t>
      </w:r>
      <w:r w:rsidR="00852DE4" w:rsidRPr="003D2171">
        <w:rPr>
          <w:color w:val="44546A" w:themeColor="text2"/>
        </w:rPr>
        <w:t>The International Lead and Zinc Study Group</w:t>
      </w:r>
      <w:r w:rsidR="004446A0" w:rsidRPr="003D2171">
        <w:rPr>
          <w:color w:val="44546A" w:themeColor="text2"/>
        </w:rPr>
        <w:t xml:space="preserve"> </w:t>
      </w:r>
      <w:r w:rsidR="00852DE4" w:rsidRPr="003D2171">
        <w:rPr>
          <w:color w:val="44546A" w:themeColor="text2"/>
        </w:rPr>
        <w:t>points out that batteries account for the dominant share of lead use at 80%, while rolled products contribute 6%</w:t>
      </w:r>
      <w:r w:rsidR="00D56B0E">
        <w:rPr>
          <w:rStyle w:val="FootnoteReference"/>
          <w:color w:val="44546A" w:themeColor="text2"/>
        </w:rPr>
        <w:footnoteReference w:id="38"/>
      </w:r>
      <w:r w:rsidR="00852DE4" w:rsidRPr="003D2171">
        <w:rPr>
          <w:color w:val="44546A" w:themeColor="text2"/>
        </w:rPr>
        <w:t xml:space="preserve">. </w:t>
      </w:r>
    </w:p>
    <w:p w14:paraId="3113FB55" w14:textId="2A8D641D" w:rsidR="00613AB9" w:rsidRDefault="00613AB9" w:rsidP="00723BC1">
      <w:pPr>
        <w:jc w:val="both"/>
        <w:rPr>
          <w:color w:val="44546A" w:themeColor="text2"/>
        </w:rPr>
      </w:pPr>
      <w:r w:rsidRPr="00613AB9">
        <w:rPr>
          <w:color w:val="44546A" w:themeColor="text2"/>
        </w:rPr>
        <w:lastRenderedPageBreak/>
        <w:t>The US Environmental Protection Agency</w:t>
      </w:r>
      <w:r w:rsidR="00E53054">
        <w:rPr>
          <w:rStyle w:val="FootnoteReference"/>
          <w:color w:val="44546A" w:themeColor="text2"/>
        </w:rPr>
        <w:footnoteReference w:id="39"/>
      </w:r>
      <w:r w:rsidRPr="00613AB9">
        <w:rPr>
          <w:color w:val="44546A" w:themeColor="text2"/>
        </w:rPr>
        <w:t xml:space="preserve"> reports that zinc is predominantly utili</w:t>
      </w:r>
      <w:r>
        <w:rPr>
          <w:color w:val="44546A" w:themeColor="text2"/>
        </w:rPr>
        <w:t>s</w:t>
      </w:r>
      <w:r w:rsidRPr="00613AB9">
        <w:rPr>
          <w:color w:val="44546A" w:themeColor="text2"/>
        </w:rPr>
        <w:t>ed for galvani</w:t>
      </w:r>
      <w:r>
        <w:rPr>
          <w:color w:val="44546A" w:themeColor="text2"/>
        </w:rPr>
        <w:t>s</w:t>
      </w:r>
      <w:r w:rsidRPr="00613AB9">
        <w:rPr>
          <w:color w:val="44546A" w:themeColor="text2"/>
        </w:rPr>
        <w:t>ing steel. Consequently, emissions associated with zinc usage have been estimated using an emission factor per unit of product.</w:t>
      </w:r>
    </w:p>
    <w:p w14:paraId="4917F8EC" w14:textId="3151D6B8" w:rsidR="008F16CD" w:rsidRDefault="00613AB9" w:rsidP="00613AB9">
      <w:pPr>
        <w:jc w:val="both"/>
        <w:rPr>
          <w:color w:val="44546A" w:themeColor="text2"/>
        </w:rPr>
      </w:pPr>
      <w:r w:rsidRPr="00613AB9">
        <w:rPr>
          <w:color w:val="44546A" w:themeColor="text2"/>
        </w:rPr>
        <w:t>Similarly, according to the International Copper Association</w:t>
      </w:r>
      <w:r w:rsidR="008F1EE6">
        <w:rPr>
          <w:rStyle w:val="FootnoteReference"/>
          <w:color w:val="44546A" w:themeColor="text2"/>
        </w:rPr>
        <w:footnoteReference w:id="40"/>
      </w:r>
      <w:r w:rsidRPr="00613AB9">
        <w:rPr>
          <w:color w:val="44546A" w:themeColor="text2"/>
        </w:rPr>
        <w:t xml:space="preserve">, copper finds extensive applications in buildings, electrical systems, and transportation. Hence, emissions related to copper usage have been estimated using an emission factor per unit of product. </w:t>
      </w:r>
    </w:p>
    <w:p w14:paraId="0C6971A2" w14:textId="7A72DA4D" w:rsidR="00613AB9" w:rsidRPr="00613AB9" w:rsidRDefault="008250BF" w:rsidP="00613AB9">
      <w:pPr>
        <w:jc w:val="both"/>
        <w:rPr>
          <w:color w:val="44546A" w:themeColor="text2"/>
        </w:rPr>
      </w:pPr>
      <w:r w:rsidRPr="008250BF">
        <w:rPr>
          <w:color w:val="44546A" w:themeColor="text2"/>
        </w:rPr>
        <w:t xml:space="preserve">Despite the minimal silver output from our operations, emissions were calculated based on silver entering the </w:t>
      </w:r>
      <w:r w:rsidR="00221274" w:rsidRPr="008250BF">
        <w:rPr>
          <w:color w:val="44546A" w:themeColor="text2"/>
        </w:rPr>
        <w:t>jewellery</w:t>
      </w:r>
      <w:r w:rsidRPr="008250BF">
        <w:rPr>
          <w:color w:val="44546A" w:themeColor="text2"/>
        </w:rPr>
        <w:t xml:space="preserve"> industry, which accounts for 17% of global silver production</w:t>
      </w:r>
      <w:r w:rsidR="00AC6FBE">
        <w:rPr>
          <w:rStyle w:val="FootnoteReference"/>
          <w:color w:val="44546A" w:themeColor="text2"/>
        </w:rPr>
        <w:footnoteReference w:id="41"/>
      </w:r>
      <w:r w:rsidR="00CB47F0">
        <w:rPr>
          <w:color w:val="44546A" w:themeColor="text2"/>
        </w:rPr>
        <w:t xml:space="preserve">. </w:t>
      </w:r>
    </w:p>
    <w:p w14:paraId="04FD6901" w14:textId="3A940BBF" w:rsidR="00E25D5E" w:rsidRPr="008F0D85" w:rsidRDefault="00E25D5E" w:rsidP="00BF050C">
      <w:pPr>
        <w:pStyle w:val="Heading4"/>
      </w:pPr>
      <w:r w:rsidRPr="008F0D85">
        <w:t>Inclusions and exclusions</w:t>
      </w:r>
    </w:p>
    <w:p w14:paraId="4B109283" w14:textId="1A98A2E4" w:rsidR="00AA25D6" w:rsidRPr="008F0D85" w:rsidRDefault="004E37BC" w:rsidP="00723BC1">
      <w:pPr>
        <w:jc w:val="both"/>
        <w:rPr>
          <w:color w:val="44546A" w:themeColor="text2"/>
        </w:rPr>
      </w:pPr>
      <w:r w:rsidRPr="004E37BC">
        <w:rPr>
          <w:color w:val="44546A" w:themeColor="text2"/>
        </w:rPr>
        <w:t>We couldn't fully account for all sectoral end uses of each commodity because data on end-use emissions is limited</w:t>
      </w:r>
      <w:r w:rsidR="008E56A0" w:rsidRPr="008E56A0">
        <w:rPr>
          <w:color w:val="44546A" w:themeColor="text2"/>
        </w:rPr>
        <w:t xml:space="preserve">. As a result, the sectoral end-use percentages for zinc and lead totalled </w:t>
      </w:r>
      <w:r w:rsidR="000A4740">
        <w:rPr>
          <w:color w:val="44546A" w:themeColor="text2"/>
        </w:rPr>
        <w:t>67</w:t>
      </w:r>
      <w:r w:rsidR="008E56A0" w:rsidRPr="008E56A0">
        <w:rPr>
          <w:color w:val="44546A" w:themeColor="text2"/>
        </w:rPr>
        <w:t xml:space="preserve">% and 86%, respectively. All uses of CAML’s sold products were based on industry average data, making the total emissions for Category 11 an </w:t>
      </w:r>
      <w:r w:rsidR="00F45711" w:rsidDel="008E56A0">
        <w:rPr>
          <w:color w:val="44546A" w:themeColor="text2"/>
        </w:rPr>
        <w:t>estimate</w:t>
      </w:r>
      <w:r w:rsidR="00F45711">
        <w:rPr>
          <w:color w:val="44546A" w:themeColor="text2"/>
        </w:rPr>
        <w:t>.</w:t>
      </w:r>
    </w:p>
    <w:p w14:paraId="1DFE053C" w14:textId="07F806D3" w:rsidR="00852DE4" w:rsidRPr="008F0D85" w:rsidRDefault="00852DE4" w:rsidP="0020798B">
      <w:pPr>
        <w:rPr>
          <w:color w:val="44546A" w:themeColor="text2"/>
        </w:rPr>
      </w:pPr>
      <w:r w:rsidRPr="008F0D85">
        <w:rPr>
          <w:color w:val="44546A" w:themeColor="text2"/>
        </w:rPr>
        <w:br w:type="page"/>
      </w:r>
    </w:p>
    <w:p w14:paraId="6A6B092C" w14:textId="0042329B" w:rsidR="000551C7" w:rsidRPr="008F0D85" w:rsidRDefault="00F9620A" w:rsidP="00BF050C">
      <w:pPr>
        <w:pStyle w:val="Heading3"/>
      </w:pPr>
      <w:bookmarkStart w:id="30" w:name="_Toc194670381"/>
      <w:r w:rsidRPr="008F0D85">
        <w:lastRenderedPageBreak/>
        <w:t>Category 12 – End-of-Life treatment of sold products</w:t>
      </w:r>
      <w:bookmarkEnd w:id="30"/>
    </w:p>
    <w:tbl>
      <w:tblPr>
        <w:tblStyle w:val="GridTable5Dark-Accent2"/>
        <w:tblpPr w:leftFromText="180" w:rightFromText="180" w:vertAnchor="text" w:horzAnchor="margin" w:tblpY="138"/>
        <w:tblW w:w="9378" w:type="dxa"/>
        <w:tblLook w:val="04A0" w:firstRow="1" w:lastRow="0" w:firstColumn="1" w:lastColumn="0" w:noHBand="0" w:noVBand="1"/>
      </w:tblPr>
      <w:tblGrid>
        <w:gridCol w:w="2547"/>
        <w:gridCol w:w="6831"/>
      </w:tblGrid>
      <w:tr w:rsidR="00BF050C" w:rsidRPr="00B43CF5" w14:paraId="55846035" w14:textId="77777777" w:rsidTr="0087210A">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78" w:type="dxa"/>
            <w:gridSpan w:val="2"/>
            <w:shd w:val="clear" w:color="auto" w:fill="3E5C60"/>
          </w:tcPr>
          <w:p w14:paraId="41B4F0BD" w14:textId="77777777" w:rsidR="00BF050C" w:rsidRPr="00B43CF5" w:rsidRDefault="00BF050C" w:rsidP="00BF050C">
            <w:pPr>
              <w:jc w:val="both"/>
            </w:pPr>
            <w:r w:rsidRPr="00B43CF5">
              <w:t xml:space="preserve">Category 12 </w:t>
            </w:r>
          </w:p>
        </w:tc>
      </w:tr>
      <w:tr w:rsidR="00BF050C" w:rsidRPr="00B43CF5" w14:paraId="0C5B2011" w14:textId="77777777" w:rsidTr="0087210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526BB5CF" w14:textId="77777777" w:rsidR="00BF050C" w:rsidRPr="00B43CF5" w:rsidRDefault="00BF050C" w:rsidP="00BF050C">
            <w:r w:rsidRPr="00B43CF5">
              <w:t>Description</w:t>
            </w:r>
          </w:p>
        </w:tc>
        <w:tc>
          <w:tcPr>
            <w:tcW w:w="6831" w:type="dxa"/>
            <w:shd w:val="clear" w:color="auto" w:fill="C3D5D7"/>
          </w:tcPr>
          <w:p w14:paraId="092A96E7" w14:textId="507ABEDC" w:rsidR="00BF050C" w:rsidRPr="008F0D85" w:rsidRDefault="00BF050C" w:rsidP="00BF050C">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Emissions from the waste disposal and treatment of copper, zinc, lead and silver at the end of their life</w:t>
            </w:r>
            <w:r w:rsidR="00E229A1">
              <w:rPr>
                <w:color w:val="44546A" w:themeColor="text2"/>
              </w:rPr>
              <w:t>.</w:t>
            </w:r>
          </w:p>
          <w:p w14:paraId="41EBC115" w14:textId="77777777" w:rsidR="00BF050C" w:rsidRPr="008F0D85" w:rsidRDefault="00BF050C" w:rsidP="00BF050C">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BF050C" w:rsidRPr="00B43CF5" w14:paraId="28533661" w14:textId="77777777" w:rsidTr="0087210A">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1EE9F30F" w14:textId="77777777" w:rsidR="00BF050C" w:rsidRPr="00B43CF5" w:rsidRDefault="00BF050C" w:rsidP="00BF050C">
            <w:r w:rsidRPr="0052529A">
              <w:t>Emissions (</w:t>
            </w:r>
            <w:r w:rsidRPr="008F0D85">
              <w:rPr>
                <w:rFonts w:eastAsia="Times New Roman"/>
              </w:rPr>
              <w:t>tCO</w:t>
            </w:r>
            <w:r w:rsidRPr="008F0D85">
              <w:rPr>
                <w:rFonts w:eastAsia="Times New Roman"/>
                <w:vertAlign w:val="subscript"/>
              </w:rPr>
              <w:t>2</w:t>
            </w:r>
            <w:r w:rsidRPr="008F0D85">
              <w:rPr>
                <w:rFonts w:eastAsia="Times New Roman"/>
              </w:rPr>
              <w:t>e)</w:t>
            </w:r>
          </w:p>
        </w:tc>
        <w:tc>
          <w:tcPr>
            <w:tcW w:w="6831" w:type="dxa"/>
            <w:shd w:val="clear" w:color="auto" w:fill="E1EAEB"/>
          </w:tcPr>
          <w:p w14:paraId="101E59D9" w14:textId="751DD166" w:rsidR="00BF050C" w:rsidRPr="008F0D85" w:rsidRDefault="00780B8B" w:rsidP="00BF050C">
            <w:pPr>
              <w:jc w:val="both"/>
              <w:cnfStyle w:val="000000000000" w:firstRow="0" w:lastRow="0" w:firstColumn="0" w:lastColumn="0" w:oddVBand="0" w:evenVBand="0" w:oddHBand="0" w:evenHBand="0" w:firstRowFirstColumn="0" w:firstRowLastColumn="0" w:lastRowFirstColumn="0" w:lastRowLastColumn="0"/>
              <w:rPr>
                <w:color w:val="44546A" w:themeColor="text2"/>
              </w:rPr>
            </w:pPr>
            <w:r>
              <w:rPr>
                <w:color w:val="44546A" w:themeColor="text2"/>
              </w:rPr>
              <w:t>25</w:t>
            </w:r>
            <w:r w:rsidR="00BF050C" w:rsidRPr="008F0D85">
              <w:rPr>
                <w:color w:val="44546A" w:themeColor="text2"/>
              </w:rPr>
              <w:t>,</w:t>
            </w:r>
            <w:r>
              <w:rPr>
                <w:color w:val="44546A" w:themeColor="text2"/>
              </w:rPr>
              <w:t>212</w:t>
            </w:r>
            <w:r w:rsidR="00BF050C" w:rsidRPr="008F0D85">
              <w:rPr>
                <w:color w:val="44546A" w:themeColor="text2"/>
              </w:rPr>
              <w:t xml:space="preserve"> (2022: </w:t>
            </w:r>
            <w:r>
              <w:rPr>
                <w:color w:val="44546A" w:themeColor="text2"/>
              </w:rPr>
              <w:t>27</w:t>
            </w:r>
            <w:r w:rsidR="00330049" w:rsidRPr="008F0D85">
              <w:rPr>
                <w:color w:val="44546A" w:themeColor="text2"/>
              </w:rPr>
              <w:t>,</w:t>
            </w:r>
            <w:r>
              <w:rPr>
                <w:color w:val="44546A" w:themeColor="text2"/>
              </w:rPr>
              <w:t>632</w:t>
            </w:r>
            <w:r w:rsidR="00BF050C" w:rsidRPr="008F0D85">
              <w:rPr>
                <w:color w:val="44546A" w:themeColor="text2"/>
              </w:rPr>
              <w:t>)</w:t>
            </w:r>
          </w:p>
          <w:p w14:paraId="776993AC" w14:textId="77777777" w:rsidR="00BF050C" w:rsidRPr="008F0D85" w:rsidRDefault="00BF050C" w:rsidP="00BF050C">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BF050C" w:rsidRPr="00B43CF5" w14:paraId="15CC5265" w14:textId="77777777" w:rsidTr="0087210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1B59FBAF" w14:textId="12BC0336" w:rsidR="00BF050C" w:rsidRPr="00B43CF5" w:rsidRDefault="00BF050C" w:rsidP="00BF050C">
            <w:r w:rsidRPr="00B43CF5">
              <w:t>Calculation</w:t>
            </w:r>
            <w:r w:rsidR="00C146F2">
              <w:t xml:space="preserve"> method</w:t>
            </w:r>
          </w:p>
        </w:tc>
        <w:tc>
          <w:tcPr>
            <w:tcW w:w="6831" w:type="dxa"/>
            <w:shd w:val="clear" w:color="auto" w:fill="C3D5D7"/>
          </w:tcPr>
          <w:p w14:paraId="6619373F" w14:textId="21894F88" w:rsidR="00BF050C" w:rsidRPr="008F0D85" w:rsidRDefault="00BF050C" w:rsidP="00BF050C">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Average</w:t>
            </w:r>
            <w:r w:rsidR="00D10A59">
              <w:rPr>
                <w:color w:val="44546A" w:themeColor="text2"/>
              </w:rPr>
              <w:t>-</w:t>
            </w:r>
            <w:r w:rsidRPr="008F0D85">
              <w:rPr>
                <w:color w:val="44546A" w:themeColor="text2"/>
              </w:rPr>
              <w:t>data method</w:t>
            </w:r>
          </w:p>
          <w:p w14:paraId="70696172" w14:textId="77777777" w:rsidR="00BF050C" w:rsidRPr="008F0D85" w:rsidRDefault="00BF050C" w:rsidP="00BF050C">
            <w:pPr>
              <w:jc w:val="both"/>
              <w:cnfStyle w:val="000000100000" w:firstRow="0" w:lastRow="0" w:firstColumn="0" w:lastColumn="0" w:oddVBand="0" w:evenVBand="0" w:oddHBand="1" w:evenHBand="0" w:firstRowFirstColumn="0" w:firstRowLastColumn="0" w:lastRowFirstColumn="0" w:lastRowLastColumn="0"/>
              <w:rPr>
                <w:color w:val="44546A" w:themeColor="text2"/>
                <w:highlight w:val="yellow"/>
              </w:rPr>
            </w:pPr>
          </w:p>
        </w:tc>
      </w:tr>
      <w:tr w:rsidR="00BF050C" w:rsidRPr="00B43CF5" w14:paraId="003ECD96" w14:textId="77777777" w:rsidTr="0087210A">
        <w:trPr>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5A81A975" w14:textId="77777777" w:rsidR="00BF050C" w:rsidRPr="00B43CF5" w:rsidRDefault="00BF050C" w:rsidP="00BF050C">
            <w:r w:rsidRPr="00B43CF5">
              <w:t>Activity data source</w:t>
            </w:r>
          </w:p>
        </w:tc>
        <w:tc>
          <w:tcPr>
            <w:tcW w:w="6831" w:type="dxa"/>
            <w:shd w:val="clear" w:color="auto" w:fill="E1EAEB"/>
          </w:tcPr>
          <w:p w14:paraId="3B4ED342" w14:textId="0FF8E95F" w:rsidR="00BF050C" w:rsidRPr="008F0D85" w:rsidRDefault="00BF050C" w:rsidP="00BF050C">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8F0D85">
              <w:rPr>
                <w:color w:val="44546A" w:themeColor="text2"/>
              </w:rPr>
              <w:t>The activity data provided by our sales department of total tonnes of copper, zinc, lead and silver sold during the reporting year</w:t>
            </w:r>
            <w:r w:rsidR="00E229A1">
              <w:rPr>
                <w:color w:val="44546A" w:themeColor="text2"/>
              </w:rPr>
              <w:t>.</w:t>
            </w:r>
          </w:p>
          <w:p w14:paraId="5A0B5814" w14:textId="77777777" w:rsidR="00BF050C" w:rsidRPr="008F0D85" w:rsidRDefault="00BF050C" w:rsidP="00BF050C">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BF050C" w:rsidRPr="00B43CF5" w14:paraId="03D0DDB5" w14:textId="77777777" w:rsidTr="0087210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547" w:type="dxa"/>
            <w:shd w:val="clear" w:color="auto" w:fill="3E5C60"/>
          </w:tcPr>
          <w:p w14:paraId="0461B090" w14:textId="77777777" w:rsidR="00BF050C" w:rsidRPr="00B43CF5" w:rsidRDefault="00BF050C" w:rsidP="00BF050C">
            <w:r w:rsidRPr="00B43CF5">
              <w:t>Emissions data source</w:t>
            </w:r>
          </w:p>
        </w:tc>
        <w:tc>
          <w:tcPr>
            <w:tcW w:w="6831" w:type="dxa"/>
            <w:shd w:val="clear" w:color="auto" w:fill="C3D5D7"/>
          </w:tcPr>
          <w:p w14:paraId="32BF3937" w14:textId="7BFB20C7" w:rsidR="00BF050C" w:rsidRPr="008F0D85" w:rsidRDefault="00BF050C" w:rsidP="00BF050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 xml:space="preserve">Copper: </w:t>
            </w:r>
            <w:r w:rsidR="0073799F">
              <w:rPr>
                <w:color w:val="44546A" w:themeColor="text2"/>
              </w:rPr>
              <w:t>0</w:t>
            </w:r>
            <w:r w:rsidRPr="008F0D85">
              <w:rPr>
                <w:color w:val="44546A" w:themeColor="text2"/>
              </w:rPr>
              <w:t>.</w:t>
            </w:r>
            <w:r w:rsidR="0073799F">
              <w:rPr>
                <w:color w:val="44546A" w:themeColor="text2"/>
              </w:rPr>
              <w:t>99</w:t>
            </w:r>
            <w:r w:rsidRPr="008F0D85">
              <w:rPr>
                <w:color w:val="44546A" w:themeColor="text2"/>
              </w:rPr>
              <w:t>7 tonnes CO</w:t>
            </w:r>
            <w:r w:rsidRPr="002C3D3F">
              <w:rPr>
                <w:color w:val="44546A" w:themeColor="text2"/>
                <w:vertAlign w:val="subscript"/>
              </w:rPr>
              <w:t>2</w:t>
            </w:r>
            <w:r w:rsidRPr="008F0D85">
              <w:rPr>
                <w:color w:val="44546A" w:themeColor="text2"/>
              </w:rPr>
              <w:t>e per tonne, as determined by a literature on the carbon footprint of both copper and zinc production</w:t>
            </w:r>
            <w:r w:rsidR="00BE27E4">
              <w:rPr>
                <w:rStyle w:val="FootnoteReference"/>
                <w:color w:val="44546A" w:themeColor="text2"/>
              </w:rPr>
              <w:footnoteReference w:id="42"/>
            </w:r>
            <w:r w:rsidR="00130EBD" w:rsidRPr="00DA35A0">
              <w:rPr>
                <w:color w:val="44546A" w:themeColor="text2"/>
                <w:vertAlign w:val="superscript"/>
              </w:rPr>
              <w:t>,</w:t>
            </w:r>
            <w:r w:rsidR="00130EBD">
              <w:rPr>
                <w:rStyle w:val="FootnoteReference"/>
                <w:color w:val="44546A" w:themeColor="text2"/>
              </w:rPr>
              <w:footnoteReference w:id="43"/>
            </w:r>
            <w:r w:rsidR="00E229A1">
              <w:rPr>
                <w:color w:val="44546A" w:themeColor="text2"/>
              </w:rPr>
              <w:t>.</w:t>
            </w:r>
          </w:p>
          <w:p w14:paraId="6D02BDF8" w14:textId="607E54A0" w:rsidR="00BF050C" w:rsidRPr="008F0D85" w:rsidRDefault="00BF050C" w:rsidP="00BF050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Zinc: 1.4 tonnes CO</w:t>
            </w:r>
            <w:r w:rsidRPr="00DA35A0">
              <w:rPr>
                <w:color w:val="44546A" w:themeColor="text2"/>
                <w:vertAlign w:val="subscript"/>
              </w:rPr>
              <w:t>2</w:t>
            </w:r>
            <w:r w:rsidRPr="008F0D85">
              <w:rPr>
                <w:color w:val="44546A" w:themeColor="text2"/>
              </w:rPr>
              <w:t>e per tonne, sourced from the Bureau of International Recycling</w:t>
            </w:r>
            <w:r w:rsidR="000D0625">
              <w:rPr>
                <w:rStyle w:val="FootnoteReference"/>
                <w:color w:val="44546A" w:themeColor="text2"/>
              </w:rPr>
              <w:footnoteReference w:id="44"/>
            </w:r>
            <w:r w:rsidR="00E229A1">
              <w:rPr>
                <w:color w:val="44546A" w:themeColor="text2"/>
              </w:rPr>
              <w:t>.</w:t>
            </w:r>
          </w:p>
          <w:p w14:paraId="1D3EB597" w14:textId="1F5013D8" w:rsidR="00BF050C" w:rsidRPr="008F0D85" w:rsidRDefault="00BF050C" w:rsidP="00BF050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 xml:space="preserve">Lead: </w:t>
            </w:r>
            <w:r w:rsidR="00A30298">
              <w:rPr>
                <w:color w:val="44546A" w:themeColor="text2"/>
              </w:rPr>
              <w:t>0.2 tonnes</w:t>
            </w:r>
            <w:r w:rsidR="00A30298" w:rsidRPr="008F0D85">
              <w:rPr>
                <w:color w:val="44546A" w:themeColor="text2"/>
              </w:rPr>
              <w:t xml:space="preserve"> CO</w:t>
            </w:r>
            <w:r w:rsidR="00A30298" w:rsidRPr="00246C99">
              <w:rPr>
                <w:color w:val="44546A" w:themeColor="text2"/>
                <w:vertAlign w:val="subscript"/>
              </w:rPr>
              <w:t>2</w:t>
            </w:r>
            <w:r w:rsidR="00A30298" w:rsidRPr="008F0D85">
              <w:rPr>
                <w:color w:val="44546A" w:themeColor="text2"/>
              </w:rPr>
              <w:t>e per tonne</w:t>
            </w:r>
            <w:r w:rsidR="00A30298">
              <w:rPr>
                <w:color w:val="44546A" w:themeColor="text2"/>
              </w:rPr>
              <w:t>,</w:t>
            </w:r>
            <w:r w:rsidRPr="008F0D85">
              <w:rPr>
                <w:color w:val="44546A" w:themeColor="text2"/>
              </w:rPr>
              <w:t xml:space="preserve"> data for recycling was referenced from the US Environmental Protection Agency</w:t>
            </w:r>
            <w:r w:rsidR="000D0625">
              <w:rPr>
                <w:rStyle w:val="FootnoteReference"/>
                <w:color w:val="44546A" w:themeColor="text2"/>
              </w:rPr>
              <w:footnoteReference w:id="45"/>
            </w:r>
            <w:r w:rsidR="00E229A1">
              <w:rPr>
                <w:color w:val="44546A" w:themeColor="text2"/>
              </w:rPr>
              <w:t>.</w:t>
            </w:r>
          </w:p>
          <w:p w14:paraId="09C91FAD" w14:textId="77777777" w:rsidR="00BF050C" w:rsidRPr="008F0D85" w:rsidRDefault="00BF050C" w:rsidP="00BF050C">
            <w:pPr>
              <w:pStyle w:val="ListParagraph"/>
              <w:cnfStyle w:val="000000100000" w:firstRow="0" w:lastRow="0" w:firstColumn="0" w:lastColumn="0" w:oddVBand="0" w:evenVBand="0" w:oddHBand="1" w:evenHBand="0" w:firstRowFirstColumn="0" w:firstRowLastColumn="0" w:lastRowFirstColumn="0" w:lastRowLastColumn="0"/>
              <w:rPr>
                <w:color w:val="44546A" w:themeColor="text2"/>
              </w:rPr>
            </w:pPr>
          </w:p>
        </w:tc>
      </w:tr>
    </w:tbl>
    <w:p w14:paraId="53C94831" w14:textId="77777777" w:rsidR="00D21C6A" w:rsidRPr="00DA35A0" w:rsidRDefault="00D21C6A" w:rsidP="00DA35A0"/>
    <w:p w14:paraId="1FC31760" w14:textId="6024A36C" w:rsidR="00623A5D" w:rsidRPr="008F0D85" w:rsidRDefault="00623A5D" w:rsidP="00BF050C">
      <w:pPr>
        <w:pStyle w:val="Heading4"/>
      </w:pPr>
      <w:r w:rsidRPr="008F0D85">
        <w:t>Boundaries</w:t>
      </w:r>
    </w:p>
    <w:p w14:paraId="1CD2C257" w14:textId="0D4220C2" w:rsidR="005F5582" w:rsidRDefault="0046736A" w:rsidP="00BF050C">
      <w:pPr>
        <w:jc w:val="both"/>
        <w:rPr>
          <w:color w:val="44546A" w:themeColor="text2"/>
        </w:rPr>
      </w:pPr>
      <w:r>
        <w:rPr>
          <w:color w:val="44546A" w:themeColor="text2"/>
        </w:rPr>
        <w:t>Category 12</w:t>
      </w:r>
      <w:r w:rsidR="005F5582" w:rsidRPr="008F0D85">
        <w:rPr>
          <w:color w:val="44546A" w:themeColor="text2"/>
        </w:rPr>
        <w:t xml:space="preserve"> </w:t>
      </w:r>
      <w:r w:rsidR="00F94B98" w:rsidRPr="008F0D85">
        <w:rPr>
          <w:color w:val="44546A" w:themeColor="text2"/>
        </w:rPr>
        <w:t xml:space="preserve">accounts for </w:t>
      </w:r>
      <w:r w:rsidR="005F5582" w:rsidRPr="008F0D85">
        <w:rPr>
          <w:color w:val="44546A" w:themeColor="text2"/>
        </w:rPr>
        <w:t xml:space="preserve">downstream emissions </w:t>
      </w:r>
      <w:r>
        <w:rPr>
          <w:color w:val="44546A" w:themeColor="text2"/>
        </w:rPr>
        <w:t xml:space="preserve">associated with </w:t>
      </w:r>
      <w:r w:rsidR="005F5582" w:rsidRPr="008F0D85">
        <w:rPr>
          <w:color w:val="44546A" w:themeColor="text2"/>
        </w:rPr>
        <w:t>the end-of-life treatment of sold products. Navigating this category presents challenges</w:t>
      </w:r>
      <w:r>
        <w:rPr>
          <w:color w:val="44546A" w:themeColor="text2"/>
        </w:rPr>
        <w:t xml:space="preserve"> </w:t>
      </w:r>
      <w:r w:rsidR="005F5582" w:rsidRPr="008F0D85">
        <w:rPr>
          <w:color w:val="44546A" w:themeColor="text2"/>
        </w:rPr>
        <w:t xml:space="preserve">due to </w:t>
      </w:r>
      <w:r>
        <w:rPr>
          <w:color w:val="44546A" w:themeColor="text2"/>
        </w:rPr>
        <w:t xml:space="preserve">complexities in </w:t>
      </w:r>
      <w:r w:rsidR="005F5582" w:rsidRPr="008F0D85">
        <w:rPr>
          <w:color w:val="44546A" w:themeColor="text2"/>
        </w:rPr>
        <w:t xml:space="preserve">data availability. The analysis predominantly focuses on the recycling of end-use products, as assumptions about products still in circulation or those that may end up in landfills </w:t>
      </w:r>
      <w:r w:rsidR="00AC24EC">
        <w:rPr>
          <w:color w:val="44546A" w:themeColor="text2"/>
        </w:rPr>
        <w:t>are</w:t>
      </w:r>
      <w:r w:rsidR="005F5582" w:rsidRPr="008F0D85">
        <w:rPr>
          <w:color w:val="44546A" w:themeColor="text2"/>
        </w:rPr>
        <w:t xml:space="preserve"> speculative and outside the </w:t>
      </w:r>
      <w:r w:rsidR="00AC24EC">
        <w:rPr>
          <w:color w:val="44546A" w:themeColor="text2"/>
        </w:rPr>
        <w:t xml:space="preserve">scope </w:t>
      </w:r>
      <w:r w:rsidR="005F5582" w:rsidRPr="008F0D85">
        <w:rPr>
          <w:color w:val="44546A" w:themeColor="text2"/>
        </w:rPr>
        <w:t>of this assessment.</w:t>
      </w:r>
    </w:p>
    <w:p w14:paraId="3A1DDEBE" w14:textId="019BF25C" w:rsidR="0087210A" w:rsidRDefault="0087210A" w:rsidP="0087210A">
      <w:pPr>
        <w:pStyle w:val="Heading4"/>
      </w:pPr>
      <w:r>
        <w:t>Calculation method</w:t>
      </w:r>
    </w:p>
    <w:p w14:paraId="5CB435DE" w14:textId="5D3D8379" w:rsidR="0087210A" w:rsidRPr="0087210A" w:rsidRDefault="00D21C6A" w:rsidP="0087210A">
      <w:pPr>
        <w:rPr>
          <w:color w:val="44546A" w:themeColor="text2"/>
        </w:rPr>
      </w:pPr>
      <w:r w:rsidRPr="008F0D85">
        <w:rPr>
          <w:color w:val="44546A" w:themeColor="text2"/>
        </w:rPr>
        <w:t>The analytical approach employs the average</w:t>
      </w:r>
      <w:r>
        <w:rPr>
          <w:color w:val="44546A" w:themeColor="text2"/>
        </w:rPr>
        <w:t>-</w:t>
      </w:r>
      <w:r w:rsidRPr="008F0D85">
        <w:rPr>
          <w:color w:val="44546A" w:themeColor="text2"/>
        </w:rPr>
        <w:t xml:space="preserve">data method, </w:t>
      </w:r>
      <w:r>
        <w:rPr>
          <w:color w:val="44546A" w:themeColor="text2"/>
        </w:rPr>
        <w:t>aligning</w:t>
      </w:r>
      <w:r w:rsidRPr="008F0D85">
        <w:rPr>
          <w:color w:val="44546A" w:themeColor="text2"/>
        </w:rPr>
        <w:t xml:space="preserve"> the recycling emission factor with the specific recycling rates and then applies this to the commodity output.</w:t>
      </w:r>
      <w:r>
        <w:rPr>
          <w:color w:val="44546A" w:themeColor="text2"/>
        </w:rPr>
        <w:t xml:space="preserve"> </w:t>
      </w:r>
    </w:p>
    <w:p w14:paraId="0C1ED498" w14:textId="2CBDCC04" w:rsidR="0088405E" w:rsidRPr="008F0D85" w:rsidRDefault="00623A5D" w:rsidP="00BF050C">
      <w:pPr>
        <w:pStyle w:val="Heading4"/>
      </w:pPr>
      <w:r w:rsidRPr="008F0D85">
        <w:lastRenderedPageBreak/>
        <w:t>Assumptions</w:t>
      </w:r>
    </w:p>
    <w:p w14:paraId="5E2A77E6" w14:textId="50F82AD8" w:rsidR="001B01EB" w:rsidRDefault="00C27EBF" w:rsidP="001B01EB">
      <w:pPr>
        <w:pStyle w:val="Heading4"/>
        <w:rPr>
          <w:rFonts w:eastAsiaTheme="minorHAnsi" w:cstheme="minorBidi"/>
          <w:b w:val="0"/>
          <w:i w:val="0"/>
          <w:iCs w:val="0"/>
          <w:color w:val="44546A" w:themeColor="text2"/>
        </w:rPr>
      </w:pPr>
      <w:r w:rsidRPr="00C27EBF">
        <w:rPr>
          <w:rFonts w:eastAsiaTheme="minorHAnsi" w:cstheme="minorBidi"/>
          <w:b w:val="0"/>
          <w:i w:val="0"/>
          <w:iCs w:val="0"/>
          <w:color w:val="44546A" w:themeColor="text2"/>
        </w:rPr>
        <w:t xml:space="preserve">Category 12 is estimated using industry averages, as specific data on the end-of-life treatment of sold products is unavailable. Recycling intensities and average CO₂ emissions per tonne of commodity sold are derived from sector-wide sources. </w:t>
      </w:r>
    </w:p>
    <w:p w14:paraId="44C9D5B1" w14:textId="089BAA07" w:rsidR="00C27EBF" w:rsidRPr="001B01EB" w:rsidRDefault="00C27EBF" w:rsidP="00863925">
      <w:pPr>
        <w:pStyle w:val="Heading4"/>
        <w:rPr>
          <w:color w:val="44546A" w:themeColor="text2"/>
        </w:rPr>
      </w:pPr>
      <w:r w:rsidRPr="001B01EB">
        <w:rPr>
          <w:rFonts w:eastAsiaTheme="minorHAnsi" w:cstheme="minorBidi"/>
          <w:b w:val="0"/>
          <w:i w:val="0"/>
          <w:color w:val="44546A" w:themeColor="text2"/>
        </w:rPr>
        <w:t>Recycling rates were sourced from literature to determine the final metric for each material. For example, Copper Alliance</w:t>
      </w:r>
      <w:r w:rsidR="002667CA" w:rsidRPr="00863925">
        <w:rPr>
          <w:bCs/>
        </w:rPr>
        <w:footnoteReference w:id="46"/>
      </w:r>
      <w:r w:rsidRPr="001B01EB">
        <w:rPr>
          <w:rFonts w:eastAsiaTheme="minorHAnsi" w:cstheme="minorBidi"/>
          <w:b w:val="0"/>
          <w:i w:val="0"/>
          <w:color w:val="44546A" w:themeColor="text2"/>
        </w:rPr>
        <w:t xml:space="preserve"> reports a global end-of-life recycling rate for copper at 40%, International Zinc Association</w:t>
      </w:r>
      <w:r w:rsidR="00981F51" w:rsidRPr="00863925">
        <w:rPr>
          <w:bCs/>
        </w:rPr>
        <w:footnoteReference w:id="47"/>
      </w:r>
      <w:r w:rsidRPr="001B01EB">
        <w:rPr>
          <w:rFonts w:eastAsiaTheme="minorHAnsi" w:cstheme="minorBidi"/>
          <w:b w:val="0"/>
          <w:i w:val="0"/>
          <w:color w:val="44546A" w:themeColor="text2"/>
        </w:rPr>
        <w:t xml:space="preserve"> cites 34% for zinc, and United Nations Environment Programme</w:t>
      </w:r>
      <w:r w:rsidR="001C73A0" w:rsidRPr="00863925">
        <w:rPr>
          <w:bCs/>
        </w:rPr>
        <w:footnoteReference w:id="48"/>
      </w:r>
      <w:r w:rsidRPr="001B01EB">
        <w:rPr>
          <w:rFonts w:eastAsiaTheme="minorHAnsi" w:cstheme="minorBidi"/>
          <w:b w:val="0"/>
          <w:i w:val="0"/>
          <w:color w:val="44546A" w:themeColor="text2"/>
        </w:rPr>
        <w:t xml:space="preserve"> provides an average global recycling rate of 71% for lead</w:t>
      </w:r>
      <w:r w:rsidR="00E84A11" w:rsidRPr="001B01EB">
        <w:rPr>
          <w:rFonts w:eastAsiaTheme="minorHAnsi" w:cstheme="minorBidi"/>
          <w:b w:val="0"/>
          <w:i w:val="0"/>
          <w:color w:val="44546A" w:themeColor="text2"/>
        </w:rPr>
        <w:t xml:space="preserve"> derived using industry data</w:t>
      </w:r>
      <w:r w:rsidR="00266107" w:rsidRPr="001B01EB">
        <w:rPr>
          <w:rFonts w:eastAsiaTheme="minorHAnsi" w:cstheme="minorBidi"/>
          <w:b w:val="0"/>
          <w:i w:val="0"/>
          <w:color w:val="44546A" w:themeColor="text2"/>
        </w:rPr>
        <w:t>,</w:t>
      </w:r>
      <w:r w:rsidR="00E84A11" w:rsidRPr="001B01EB">
        <w:rPr>
          <w:rFonts w:eastAsiaTheme="minorHAnsi" w:cstheme="minorBidi"/>
          <w:b w:val="0"/>
          <w:i w:val="0"/>
          <w:color w:val="44546A" w:themeColor="text2"/>
        </w:rPr>
        <w:t xml:space="preserve"> and an </w:t>
      </w:r>
      <w:proofErr w:type="gramStart"/>
      <w:r w:rsidR="00E84A11" w:rsidRPr="001B01EB">
        <w:rPr>
          <w:rFonts w:eastAsiaTheme="minorHAnsi" w:cstheme="minorBidi"/>
          <w:b w:val="0"/>
          <w:i w:val="0"/>
          <w:color w:val="44546A" w:themeColor="text2"/>
        </w:rPr>
        <w:t xml:space="preserve">average </w:t>
      </w:r>
      <w:r w:rsidR="00BC2A59" w:rsidRPr="001B01EB">
        <w:rPr>
          <w:rFonts w:eastAsiaTheme="minorHAnsi" w:cstheme="minorBidi"/>
          <w:b w:val="0"/>
          <w:i w:val="0"/>
          <w:color w:val="44546A" w:themeColor="text2"/>
        </w:rPr>
        <w:t>CO</w:t>
      </w:r>
      <w:r w:rsidR="00BC2A59" w:rsidRPr="00863925">
        <w:rPr>
          <w:rFonts w:eastAsiaTheme="minorHAnsi" w:cstheme="minorBidi"/>
          <w:b w:val="0"/>
          <w:i w:val="0"/>
          <w:iCs w:val="0"/>
          <w:color w:val="44546A" w:themeColor="text2"/>
        </w:rPr>
        <w:t>2</w:t>
      </w:r>
      <w:r w:rsidR="00BC2A59" w:rsidRPr="001B01EB">
        <w:rPr>
          <w:rFonts w:eastAsiaTheme="minorHAnsi" w:cstheme="minorBidi"/>
          <w:b w:val="0"/>
          <w:i w:val="0"/>
          <w:color w:val="44546A" w:themeColor="text2"/>
        </w:rPr>
        <w:t xml:space="preserve"> emissions</w:t>
      </w:r>
      <w:proofErr w:type="gramEnd"/>
      <w:r w:rsidR="00BC2A59" w:rsidRPr="001B01EB">
        <w:rPr>
          <w:rFonts w:eastAsiaTheme="minorHAnsi" w:cstheme="minorBidi"/>
          <w:b w:val="0"/>
          <w:i w:val="0"/>
          <w:color w:val="44546A" w:themeColor="text2"/>
        </w:rPr>
        <w:t xml:space="preserve"> </w:t>
      </w:r>
      <w:r w:rsidR="00E84A11" w:rsidRPr="001B01EB">
        <w:rPr>
          <w:rFonts w:eastAsiaTheme="minorHAnsi" w:cstheme="minorBidi"/>
          <w:b w:val="0"/>
          <w:i w:val="0"/>
          <w:color w:val="44546A" w:themeColor="text2"/>
        </w:rPr>
        <w:t>applied to each tonne of our commodities sold.</w:t>
      </w:r>
      <w:r w:rsidR="00D12698" w:rsidRPr="001B01EB">
        <w:rPr>
          <w:rFonts w:eastAsiaTheme="minorHAnsi" w:cstheme="minorBidi"/>
          <w:b w:val="0"/>
          <w:i w:val="0"/>
          <w:color w:val="44546A" w:themeColor="text2"/>
        </w:rPr>
        <w:t xml:space="preserve"> </w:t>
      </w:r>
    </w:p>
    <w:p w14:paraId="5E7AF249" w14:textId="0FEFEA8B" w:rsidR="00E84A11" w:rsidRPr="008F0D85" w:rsidRDefault="00AA25D6" w:rsidP="00E84A11">
      <w:pPr>
        <w:jc w:val="both"/>
        <w:rPr>
          <w:color w:val="44546A" w:themeColor="text2"/>
        </w:rPr>
      </w:pPr>
      <w:r w:rsidRPr="008F0D85">
        <w:rPr>
          <w:color w:val="44546A" w:themeColor="text2"/>
        </w:rPr>
        <w:t xml:space="preserve">For the remainder of commodity product not recycled, </w:t>
      </w:r>
      <w:r w:rsidR="00C53C60">
        <w:rPr>
          <w:color w:val="44546A" w:themeColor="text2"/>
        </w:rPr>
        <w:t xml:space="preserve">it is assumed </w:t>
      </w:r>
      <w:r w:rsidRPr="008F0D85">
        <w:rPr>
          <w:color w:val="44546A" w:themeColor="text2"/>
        </w:rPr>
        <w:t>the product is still in circulation</w:t>
      </w:r>
      <w:r w:rsidR="00C53C60">
        <w:rPr>
          <w:color w:val="44546A" w:themeColor="text2"/>
        </w:rPr>
        <w:t>,</w:t>
      </w:r>
      <w:r w:rsidRPr="008F0D85">
        <w:rPr>
          <w:color w:val="44546A" w:themeColor="text2"/>
        </w:rPr>
        <w:t xml:space="preserve"> and emissions for landfill </w:t>
      </w:r>
      <w:r w:rsidR="0068369D">
        <w:rPr>
          <w:color w:val="44546A" w:themeColor="text2"/>
        </w:rPr>
        <w:t>are not accounted for</w:t>
      </w:r>
      <w:r w:rsidR="00E229A1">
        <w:rPr>
          <w:color w:val="44546A" w:themeColor="text2"/>
        </w:rPr>
        <w:t>.</w:t>
      </w:r>
    </w:p>
    <w:p w14:paraId="212AC42F" w14:textId="0859E66F" w:rsidR="00F45711" w:rsidRPr="008F0D85" w:rsidRDefault="00F45711" w:rsidP="00BF050C">
      <w:pPr>
        <w:pStyle w:val="Heading4"/>
      </w:pPr>
      <w:r w:rsidRPr="008F0D85">
        <w:t>Inclusion and exclusion</w:t>
      </w:r>
    </w:p>
    <w:p w14:paraId="00B50357" w14:textId="171C83A2" w:rsidR="0046736A" w:rsidRDefault="00B10FBD" w:rsidP="00125A01">
      <w:pPr>
        <w:jc w:val="both"/>
        <w:rPr>
          <w:color w:val="44546A" w:themeColor="text2"/>
        </w:rPr>
      </w:pPr>
      <w:r w:rsidRPr="00B10FBD">
        <w:rPr>
          <w:color w:val="44546A" w:themeColor="text2"/>
        </w:rPr>
        <w:t>Emissions from landfilling are excluded due to limited reliable data, with the analysis focusing instead on end-of-life recycling, where data is more well-documented</w:t>
      </w:r>
      <w:r w:rsidR="00F45711">
        <w:rPr>
          <w:color w:val="44546A" w:themeColor="text2"/>
        </w:rPr>
        <w:t>.</w:t>
      </w:r>
    </w:p>
    <w:p w14:paraId="2B139E25" w14:textId="646CEE4C" w:rsidR="00BF050C" w:rsidRDefault="00BF050C">
      <w:pPr>
        <w:rPr>
          <w:color w:val="44546A" w:themeColor="text2"/>
        </w:rPr>
      </w:pPr>
      <w:r>
        <w:rPr>
          <w:color w:val="44546A" w:themeColor="text2"/>
        </w:rPr>
        <w:br w:type="page"/>
      </w:r>
    </w:p>
    <w:p w14:paraId="5147A502" w14:textId="40E5257E" w:rsidR="00B10B8F" w:rsidRPr="008F0D85" w:rsidRDefault="00B10B8F" w:rsidP="00BF050C">
      <w:pPr>
        <w:pStyle w:val="Heading3"/>
      </w:pPr>
      <w:bookmarkStart w:id="31" w:name="_Toc194670382"/>
      <w:r w:rsidRPr="008F0D85">
        <w:lastRenderedPageBreak/>
        <w:t>Category 13 – Downstream leased as</w:t>
      </w:r>
      <w:r w:rsidR="0047366D" w:rsidRPr="008F0D85">
        <w:t>s</w:t>
      </w:r>
      <w:r w:rsidRPr="008F0D85">
        <w:t>ets</w:t>
      </w:r>
      <w:bookmarkEnd w:id="31"/>
    </w:p>
    <w:tbl>
      <w:tblPr>
        <w:tblStyle w:val="GridTable5Dark-Accent2"/>
        <w:tblpPr w:leftFromText="180" w:rightFromText="180" w:vertAnchor="text" w:horzAnchor="margin" w:tblpY="345"/>
        <w:tblW w:w="9067" w:type="dxa"/>
        <w:tblLook w:val="04A0" w:firstRow="1" w:lastRow="0" w:firstColumn="1" w:lastColumn="0" w:noHBand="0" w:noVBand="1"/>
      </w:tblPr>
      <w:tblGrid>
        <w:gridCol w:w="2263"/>
        <w:gridCol w:w="6804"/>
      </w:tblGrid>
      <w:tr w:rsidR="000551C7" w:rsidRPr="00B43CF5" w14:paraId="1B6A5037" w14:textId="332F49E7" w:rsidTr="0087210A">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3E5C60"/>
          </w:tcPr>
          <w:p w14:paraId="1573ED7B" w14:textId="68A23DF2" w:rsidR="000551C7" w:rsidRPr="00B43CF5" w:rsidRDefault="000551C7" w:rsidP="000551C7">
            <w:pPr>
              <w:jc w:val="both"/>
            </w:pPr>
            <w:r w:rsidRPr="00B43CF5">
              <w:t xml:space="preserve">Category 13 </w:t>
            </w:r>
          </w:p>
        </w:tc>
      </w:tr>
      <w:tr w:rsidR="000551C7" w:rsidRPr="00B43CF5" w14:paraId="6B9D7E29" w14:textId="4E53DECF" w:rsidTr="0087210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580880DB" w14:textId="13BBF6D2" w:rsidR="000551C7" w:rsidRPr="00B43CF5" w:rsidRDefault="000551C7" w:rsidP="008703D4">
            <w:r w:rsidRPr="00B43CF5">
              <w:t>Description</w:t>
            </w:r>
          </w:p>
        </w:tc>
        <w:tc>
          <w:tcPr>
            <w:tcW w:w="6804" w:type="dxa"/>
            <w:shd w:val="clear" w:color="auto" w:fill="C3D5D7"/>
          </w:tcPr>
          <w:p w14:paraId="594446AC" w14:textId="22976EC6" w:rsidR="000551C7" w:rsidRPr="008F0D85" w:rsidRDefault="000551C7"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 xml:space="preserve">Emissions from the operation of assets owned and leased to other entities in the reporting year, not included in </w:t>
            </w:r>
            <w:r w:rsidR="00E229A1">
              <w:rPr>
                <w:color w:val="44546A" w:themeColor="text2"/>
              </w:rPr>
              <w:t>S</w:t>
            </w:r>
            <w:r w:rsidRPr="008F0D85">
              <w:rPr>
                <w:color w:val="44546A" w:themeColor="text2"/>
              </w:rPr>
              <w:t xml:space="preserve">cope 1 and </w:t>
            </w:r>
            <w:r w:rsidR="00E229A1">
              <w:rPr>
                <w:color w:val="44546A" w:themeColor="text2"/>
              </w:rPr>
              <w:t>S</w:t>
            </w:r>
            <w:r w:rsidRPr="008F0D85">
              <w:rPr>
                <w:color w:val="44546A" w:themeColor="text2"/>
              </w:rPr>
              <w:t>cope 2</w:t>
            </w:r>
            <w:r w:rsidR="00E229A1">
              <w:rPr>
                <w:color w:val="44546A" w:themeColor="text2"/>
              </w:rPr>
              <w:t>.</w:t>
            </w:r>
          </w:p>
          <w:p w14:paraId="2B580AA7" w14:textId="26816D89" w:rsidR="000551C7" w:rsidRPr="008F0D85" w:rsidRDefault="000551C7"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0551C7" w:rsidRPr="00B43CF5" w14:paraId="68122C60" w14:textId="27D42730" w:rsidTr="0087210A">
        <w:trPr>
          <w:trHeight w:val="249"/>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13FDCE67" w14:textId="166CAD76" w:rsidR="000551C7" w:rsidRPr="00B43CF5" w:rsidRDefault="000551C7" w:rsidP="008703D4">
            <w:r w:rsidRPr="00D62DE4">
              <w:t>Emissions (</w:t>
            </w:r>
            <w:r w:rsidRPr="00EA2FCE">
              <w:rPr>
                <w:rFonts w:eastAsia="Times New Roman"/>
              </w:rPr>
              <w:t>tCO</w:t>
            </w:r>
            <w:r w:rsidRPr="00EA2FCE">
              <w:rPr>
                <w:rFonts w:eastAsia="Times New Roman"/>
                <w:vertAlign w:val="subscript"/>
              </w:rPr>
              <w:t>2</w:t>
            </w:r>
            <w:r w:rsidRPr="00EA2FCE">
              <w:rPr>
                <w:rFonts w:eastAsia="Times New Roman"/>
              </w:rPr>
              <w:t>e)</w:t>
            </w:r>
          </w:p>
        </w:tc>
        <w:tc>
          <w:tcPr>
            <w:tcW w:w="6804" w:type="dxa"/>
            <w:shd w:val="clear" w:color="auto" w:fill="E1EAEB"/>
          </w:tcPr>
          <w:p w14:paraId="0AE4014A" w14:textId="6555CE31" w:rsidR="000551C7" w:rsidRPr="008F0D85" w:rsidRDefault="000551C7" w:rsidP="000551C7">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8F0D85">
              <w:rPr>
                <w:color w:val="44546A" w:themeColor="text2"/>
              </w:rPr>
              <w:t>-</w:t>
            </w:r>
          </w:p>
        </w:tc>
      </w:tr>
      <w:tr w:rsidR="000551C7" w:rsidRPr="00B43CF5" w14:paraId="5A94D29B" w14:textId="67110849" w:rsidTr="0087210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1C3D5D6E" w14:textId="559FA083" w:rsidR="000551C7" w:rsidRPr="00B43CF5" w:rsidRDefault="000551C7" w:rsidP="008703D4">
            <w:r w:rsidRPr="00B43CF5">
              <w:t>Calculation</w:t>
            </w:r>
            <w:r w:rsidR="00C146F2">
              <w:t xml:space="preserve"> method</w:t>
            </w:r>
          </w:p>
        </w:tc>
        <w:tc>
          <w:tcPr>
            <w:tcW w:w="6804" w:type="dxa"/>
            <w:shd w:val="clear" w:color="auto" w:fill="C3D5D7"/>
          </w:tcPr>
          <w:p w14:paraId="793616C8" w14:textId="0083B5F1" w:rsidR="000551C7" w:rsidRPr="008F0D85" w:rsidRDefault="000551C7"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N/A – Not material</w:t>
            </w:r>
          </w:p>
          <w:p w14:paraId="2B14DDFC" w14:textId="57E77F71" w:rsidR="000551C7" w:rsidRPr="008F0D85" w:rsidRDefault="000551C7"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0551C7" w:rsidRPr="00B43CF5" w14:paraId="6C98211B" w14:textId="7DA5B452" w:rsidTr="0087210A">
        <w:trPr>
          <w:trHeight w:val="249"/>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1A6057C8" w14:textId="7757A7A9" w:rsidR="000551C7" w:rsidRPr="00B43CF5" w:rsidRDefault="000551C7" w:rsidP="008703D4">
            <w:r w:rsidRPr="00B43CF5">
              <w:t>Activity data source</w:t>
            </w:r>
          </w:p>
        </w:tc>
        <w:tc>
          <w:tcPr>
            <w:tcW w:w="6804" w:type="dxa"/>
            <w:shd w:val="clear" w:color="auto" w:fill="E1EAEB"/>
          </w:tcPr>
          <w:p w14:paraId="7D145477" w14:textId="162E5DA2" w:rsidR="000551C7" w:rsidRPr="008F0D85" w:rsidRDefault="000551C7" w:rsidP="000551C7">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8F0D85">
              <w:rPr>
                <w:color w:val="44546A" w:themeColor="text2"/>
              </w:rPr>
              <w:t>CAML</w:t>
            </w:r>
            <w:r w:rsidR="008703D4">
              <w:rPr>
                <w:color w:val="44546A" w:themeColor="text2"/>
              </w:rPr>
              <w:t xml:space="preserve"> </w:t>
            </w:r>
            <w:r w:rsidRPr="008F0D85">
              <w:rPr>
                <w:color w:val="44546A" w:themeColor="text2"/>
              </w:rPr>
              <w:t>does not have downstream leased assets and therefore no emissions generated</w:t>
            </w:r>
            <w:r w:rsidR="00E229A1">
              <w:rPr>
                <w:color w:val="44546A" w:themeColor="text2"/>
              </w:rPr>
              <w:t>.</w:t>
            </w:r>
          </w:p>
          <w:p w14:paraId="0FF95E02" w14:textId="0BCAC9A0" w:rsidR="000551C7" w:rsidRPr="008F0D85" w:rsidRDefault="000551C7" w:rsidP="000551C7">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0551C7" w:rsidRPr="00B43CF5" w14:paraId="5F9B0C91" w14:textId="6213B8B3" w:rsidTr="0087210A">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233AF35C" w14:textId="7D02FD58" w:rsidR="000551C7" w:rsidRPr="00B43CF5" w:rsidRDefault="000551C7" w:rsidP="008703D4">
            <w:r w:rsidRPr="00B43CF5">
              <w:t>Emissions data source</w:t>
            </w:r>
          </w:p>
        </w:tc>
        <w:tc>
          <w:tcPr>
            <w:tcW w:w="6804" w:type="dxa"/>
            <w:shd w:val="clear" w:color="auto" w:fill="C3D5D7"/>
          </w:tcPr>
          <w:p w14:paraId="2796CF4A" w14:textId="7670D7CD" w:rsidR="000551C7" w:rsidRPr="008F0D85" w:rsidRDefault="000551C7" w:rsidP="000551C7">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N/A</w:t>
            </w:r>
          </w:p>
        </w:tc>
      </w:tr>
    </w:tbl>
    <w:p w14:paraId="623EEFD9" w14:textId="29A19427" w:rsidR="00B10B8F" w:rsidRPr="00B43CF5" w:rsidRDefault="00B10B8F" w:rsidP="00E84A11">
      <w:pPr>
        <w:jc w:val="both"/>
        <w:rPr>
          <w:b/>
          <w:bCs/>
          <w:u w:val="single"/>
        </w:rPr>
      </w:pPr>
    </w:p>
    <w:p w14:paraId="74424A7D" w14:textId="36BD6FF0" w:rsidR="00F8238C" w:rsidRPr="008F0D85" w:rsidRDefault="00F8238C" w:rsidP="00E325F9">
      <w:pPr>
        <w:jc w:val="both"/>
        <w:rPr>
          <w:color w:val="44546A" w:themeColor="text2"/>
        </w:rPr>
      </w:pPr>
    </w:p>
    <w:p w14:paraId="01CECDE2" w14:textId="61EC2D4C" w:rsidR="001870C4" w:rsidRPr="008F0D85" w:rsidRDefault="001870C4" w:rsidP="00BF050C">
      <w:pPr>
        <w:pStyle w:val="Heading4"/>
      </w:pPr>
      <w:r w:rsidRPr="008F0D85">
        <w:t>Boundaries</w:t>
      </w:r>
    </w:p>
    <w:p w14:paraId="4F6E9E02" w14:textId="7C6C816E" w:rsidR="0047366D" w:rsidRPr="00D62CB9" w:rsidRDefault="0047366D" w:rsidP="0047366D">
      <w:pPr>
        <w:jc w:val="both"/>
        <w:rPr>
          <w:color w:val="44546A" w:themeColor="text2"/>
        </w:rPr>
      </w:pPr>
      <w:r w:rsidRPr="00D62CB9">
        <w:rPr>
          <w:color w:val="44546A" w:themeColor="text2"/>
        </w:rPr>
        <w:t>The emissions inventory boundary is defined to include all assets by CAML and leased onwards for use by an external entity. CAML has not leased any material assets to other entities. It is understood that CAML’s emissions relating to its leased assets are quantified in the Scope 1 and 2 inventories.</w:t>
      </w:r>
    </w:p>
    <w:p w14:paraId="276F4F04" w14:textId="61EFC2CC" w:rsidR="0087210A" w:rsidRDefault="0087210A" w:rsidP="0087210A">
      <w:pPr>
        <w:pStyle w:val="Heading4"/>
      </w:pPr>
      <w:r>
        <w:t>Calculation method</w:t>
      </w:r>
    </w:p>
    <w:p w14:paraId="7437204C" w14:textId="13BC7126" w:rsidR="0087210A" w:rsidRPr="0087210A" w:rsidRDefault="0087210A" w:rsidP="0087210A">
      <w:pPr>
        <w:rPr>
          <w:color w:val="44546A" w:themeColor="text2"/>
        </w:rPr>
      </w:pPr>
      <w:r w:rsidRPr="0087210A">
        <w:rPr>
          <w:color w:val="44546A" w:themeColor="text2"/>
        </w:rPr>
        <w:t>N/A</w:t>
      </w:r>
    </w:p>
    <w:p w14:paraId="7099AC9F" w14:textId="1887ECF2" w:rsidR="0087210A" w:rsidRPr="008F0D85" w:rsidRDefault="0087210A" w:rsidP="0087210A">
      <w:pPr>
        <w:pStyle w:val="Heading4"/>
      </w:pPr>
      <w:r w:rsidRPr="008F0D85">
        <w:t>Assumptions</w:t>
      </w:r>
    </w:p>
    <w:p w14:paraId="6DCA9E47" w14:textId="6FEB7BDA" w:rsidR="001870C4" w:rsidRPr="0087210A" w:rsidRDefault="0087210A" w:rsidP="001870C4">
      <w:pPr>
        <w:jc w:val="both"/>
        <w:rPr>
          <w:color w:val="44546A" w:themeColor="text2"/>
        </w:rPr>
      </w:pPr>
      <w:r w:rsidRPr="0087210A">
        <w:rPr>
          <w:color w:val="44546A" w:themeColor="text2"/>
        </w:rPr>
        <w:t>N/A</w:t>
      </w:r>
    </w:p>
    <w:p w14:paraId="54653D35" w14:textId="3EF341CF" w:rsidR="0087210A" w:rsidRPr="008F0D85" w:rsidRDefault="0087210A" w:rsidP="0087210A">
      <w:pPr>
        <w:pStyle w:val="Heading4"/>
      </w:pPr>
      <w:r w:rsidRPr="008F0D85">
        <w:t>Inclusion and exclusion</w:t>
      </w:r>
    </w:p>
    <w:p w14:paraId="4CFE9EE1" w14:textId="7D309E8A" w:rsidR="0087210A" w:rsidRPr="0087210A" w:rsidRDefault="0087210A" w:rsidP="0087210A">
      <w:pPr>
        <w:jc w:val="both"/>
        <w:rPr>
          <w:color w:val="44546A" w:themeColor="text2"/>
        </w:rPr>
      </w:pPr>
      <w:r w:rsidRPr="0087210A">
        <w:rPr>
          <w:color w:val="44546A" w:themeColor="text2"/>
        </w:rPr>
        <w:t>N/A</w:t>
      </w:r>
    </w:p>
    <w:p w14:paraId="1052FD70" w14:textId="4D3F04D3" w:rsidR="0047366D" w:rsidRDefault="0047366D">
      <w:pPr>
        <w:rPr>
          <w:b/>
          <w:bCs/>
          <w:color w:val="44546A" w:themeColor="text2"/>
          <w:u w:val="single"/>
        </w:rPr>
      </w:pPr>
      <w:r>
        <w:rPr>
          <w:b/>
          <w:bCs/>
          <w:color w:val="44546A" w:themeColor="text2"/>
          <w:u w:val="single"/>
        </w:rPr>
        <w:br w:type="page"/>
      </w:r>
    </w:p>
    <w:p w14:paraId="662F9D1F" w14:textId="4DD046E8" w:rsidR="002F0E93" w:rsidRPr="008F0D85" w:rsidRDefault="002F0E93" w:rsidP="00BF050C">
      <w:pPr>
        <w:pStyle w:val="Heading3"/>
      </w:pPr>
      <w:bookmarkStart w:id="32" w:name="_Toc194670383"/>
      <w:r w:rsidRPr="008F0D85">
        <w:lastRenderedPageBreak/>
        <w:t>Category 14 – Franchises</w:t>
      </w:r>
      <w:bookmarkEnd w:id="32"/>
    </w:p>
    <w:tbl>
      <w:tblPr>
        <w:tblStyle w:val="GridTable5Dark-Accent2"/>
        <w:tblpPr w:leftFromText="180" w:rightFromText="180" w:vertAnchor="text" w:tblpY="163"/>
        <w:tblW w:w="9378" w:type="dxa"/>
        <w:tblLook w:val="04A0" w:firstRow="1" w:lastRow="0" w:firstColumn="1" w:lastColumn="0" w:noHBand="0" w:noVBand="1"/>
      </w:tblPr>
      <w:tblGrid>
        <w:gridCol w:w="2263"/>
        <w:gridCol w:w="7115"/>
      </w:tblGrid>
      <w:tr w:rsidR="0087210A" w:rsidRPr="00B43CF5" w14:paraId="23CB635C" w14:textId="62B14949" w:rsidTr="0087210A">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78" w:type="dxa"/>
            <w:gridSpan w:val="2"/>
            <w:shd w:val="clear" w:color="auto" w:fill="3E5C60"/>
          </w:tcPr>
          <w:p w14:paraId="34FB3274" w14:textId="22EC6A28" w:rsidR="0087210A" w:rsidRPr="00B43CF5" w:rsidRDefault="0087210A" w:rsidP="0087210A">
            <w:pPr>
              <w:jc w:val="both"/>
            </w:pPr>
            <w:r w:rsidRPr="00B43CF5">
              <w:t xml:space="preserve">Category 14 </w:t>
            </w:r>
          </w:p>
        </w:tc>
      </w:tr>
      <w:tr w:rsidR="0087210A" w:rsidRPr="00B43CF5" w14:paraId="0C4D1BB4" w14:textId="39E9E5BB" w:rsidTr="0087210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4CAF8462" w14:textId="53F75564" w:rsidR="0087210A" w:rsidRPr="00B43CF5" w:rsidRDefault="0087210A" w:rsidP="0087210A">
            <w:r w:rsidRPr="00B43CF5">
              <w:t>Description</w:t>
            </w:r>
          </w:p>
        </w:tc>
        <w:tc>
          <w:tcPr>
            <w:tcW w:w="7115" w:type="dxa"/>
            <w:shd w:val="clear" w:color="auto" w:fill="C3D5D7"/>
          </w:tcPr>
          <w:p w14:paraId="047673C7" w14:textId="0A68CC4A" w:rsidR="0087210A" w:rsidRPr="008F0D85" w:rsidRDefault="0087210A" w:rsidP="0087210A">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Emissions from operation of franchises in the reporting year not included in Scope 1 and Scope 2</w:t>
            </w:r>
            <w:r w:rsidR="00E229A1">
              <w:rPr>
                <w:color w:val="44546A" w:themeColor="text2"/>
              </w:rPr>
              <w:t>.</w:t>
            </w:r>
          </w:p>
          <w:p w14:paraId="4F445A68" w14:textId="7171E84E" w:rsidR="0087210A" w:rsidRPr="008F0D85" w:rsidRDefault="0087210A" w:rsidP="0087210A">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87210A" w:rsidRPr="00B43CF5" w14:paraId="7B735BAF" w14:textId="7EC933F4" w:rsidTr="0087210A">
        <w:trPr>
          <w:trHeight w:val="249"/>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052C8CA7" w14:textId="4904CB3F" w:rsidR="0087210A" w:rsidRPr="00B43CF5" w:rsidRDefault="0087210A" w:rsidP="0087210A">
            <w:r w:rsidRPr="003C7F6C">
              <w:t>Emissions (</w:t>
            </w:r>
            <w:r w:rsidRPr="008F0D85">
              <w:rPr>
                <w:rFonts w:eastAsia="Times New Roman"/>
              </w:rPr>
              <w:t>tCO</w:t>
            </w:r>
            <w:r w:rsidRPr="008F0D85">
              <w:rPr>
                <w:rFonts w:eastAsia="Times New Roman"/>
                <w:vertAlign w:val="subscript"/>
              </w:rPr>
              <w:t>2</w:t>
            </w:r>
            <w:r w:rsidRPr="008F0D85">
              <w:rPr>
                <w:rFonts w:eastAsia="Times New Roman"/>
              </w:rPr>
              <w:t>e)</w:t>
            </w:r>
          </w:p>
        </w:tc>
        <w:tc>
          <w:tcPr>
            <w:tcW w:w="7115" w:type="dxa"/>
            <w:shd w:val="clear" w:color="auto" w:fill="E1EAEB"/>
          </w:tcPr>
          <w:p w14:paraId="191CA85B" w14:textId="14759B08" w:rsidR="0087210A" w:rsidRPr="008F0D85" w:rsidRDefault="0087210A" w:rsidP="0087210A">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8F0D85">
              <w:rPr>
                <w:color w:val="44546A" w:themeColor="text2"/>
              </w:rPr>
              <w:t>-</w:t>
            </w:r>
          </w:p>
        </w:tc>
      </w:tr>
      <w:tr w:rsidR="0087210A" w:rsidRPr="00B43CF5" w14:paraId="464DA386" w14:textId="1D664709" w:rsidTr="0087210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1391445C" w14:textId="286EA919" w:rsidR="0087210A" w:rsidRPr="00B43CF5" w:rsidRDefault="0087210A" w:rsidP="0087210A">
            <w:r w:rsidRPr="00B43CF5">
              <w:t>Calculation</w:t>
            </w:r>
            <w:r w:rsidR="00C146F2">
              <w:t xml:space="preserve"> method</w:t>
            </w:r>
          </w:p>
        </w:tc>
        <w:tc>
          <w:tcPr>
            <w:tcW w:w="7115" w:type="dxa"/>
            <w:shd w:val="clear" w:color="auto" w:fill="C3D5D7"/>
          </w:tcPr>
          <w:p w14:paraId="46F83398" w14:textId="14A9BFBD" w:rsidR="0087210A" w:rsidRPr="008F0D85" w:rsidRDefault="0087210A" w:rsidP="0087210A">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N/A - Not-material</w:t>
            </w:r>
          </w:p>
          <w:p w14:paraId="3AE03492" w14:textId="4F2D7174" w:rsidR="0087210A" w:rsidRPr="008F0D85" w:rsidRDefault="0087210A" w:rsidP="0087210A">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87210A" w:rsidRPr="00B43CF5" w14:paraId="4033B46B" w14:textId="6B62E65D" w:rsidTr="0087210A">
        <w:trPr>
          <w:trHeight w:val="249"/>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2B872765" w14:textId="162367CB" w:rsidR="0087210A" w:rsidRPr="00B43CF5" w:rsidRDefault="0087210A" w:rsidP="0087210A">
            <w:r w:rsidRPr="00B43CF5">
              <w:t>Activity data source</w:t>
            </w:r>
          </w:p>
        </w:tc>
        <w:tc>
          <w:tcPr>
            <w:tcW w:w="7115" w:type="dxa"/>
            <w:shd w:val="clear" w:color="auto" w:fill="E1EAEB"/>
          </w:tcPr>
          <w:p w14:paraId="7AFF0DC0" w14:textId="1C2377B4" w:rsidR="0087210A" w:rsidRPr="008F0D85" w:rsidRDefault="0087210A" w:rsidP="0087210A">
            <w:pPr>
              <w:jc w:val="both"/>
              <w:cnfStyle w:val="000000000000" w:firstRow="0" w:lastRow="0" w:firstColumn="0" w:lastColumn="0" w:oddVBand="0" w:evenVBand="0" w:oddHBand="0" w:evenHBand="0" w:firstRowFirstColumn="0" w:firstRowLastColumn="0" w:lastRowFirstColumn="0" w:lastRowLastColumn="0"/>
              <w:rPr>
                <w:color w:val="44546A" w:themeColor="text2"/>
              </w:rPr>
            </w:pPr>
            <w:r w:rsidRPr="008F0D85">
              <w:rPr>
                <w:color w:val="44546A" w:themeColor="text2"/>
              </w:rPr>
              <w:t>CAML does not have franchised operations and therefore no emissions generated.</w:t>
            </w:r>
          </w:p>
          <w:p w14:paraId="25BF8A91" w14:textId="17B3E4F2" w:rsidR="0087210A" w:rsidRPr="008F0D85" w:rsidRDefault="0087210A" w:rsidP="0087210A">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87210A" w:rsidRPr="00B43CF5" w14:paraId="403A2680" w14:textId="4D8E674E" w:rsidTr="0087210A">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263" w:type="dxa"/>
            <w:shd w:val="clear" w:color="auto" w:fill="3E5C60"/>
          </w:tcPr>
          <w:p w14:paraId="1A9D3B40" w14:textId="5D2FFB2D" w:rsidR="0087210A" w:rsidRPr="00B43CF5" w:rsidRDefault="0087210A" w:rsidP="0087210A">
            <w:r w:rsidRPr="00B43CF5">
              <w:t>Emissions data source</w:t>
            </w:r>
          </w:p>
        </w:tc>
        <w:tc>
          <w:tcPr>
            <w:tcW w:w="7115" w:type="dxa"/>
            <w:shd w:val="clear" w:color="auto" w:fill="C3D5D7"/>
          </w:tcPr>
          <w:p w14:paraId="1CF6B994" w14:textId="390D47F5" w:rsidR="0087210A" w:rsidRPr="008F0D85" w:rsidRDefault="0087210A" w:rsidP="0087210A">
            <w:pPr>
              <w:jc w:val="both"/>
              <w:cnfStyle w:val="000000100000" w:firstRow="0" w:lastRow="0" w:firstColumn="0" w:lastColumn="0" w:oddVBand="0" w:evenVBand="0" w:oddHBand="1" w:evenHBand="0" w:firstRowFirstColumn="0" w:firstRowLastColumn="0" w:lastRowFirstColumn="0" w:lastRowLastColumn="0"/>
              <w:rPr>
                <w:color w:val="44546A" w:themeColor="text2"/>
              </w:rPr>
            </w:pPr>
            <w:r w:rsidRPr="008F0D85">
              <w:rPr>
                <w:color w:val="44546A" w:themeColor="text2"/>
              </w:rPr>
              <w:t xml:space="preserve">N/A </w:t>
            </w:r>
          </w:p>
        </w:tc>
      </w:tr>
    </w:tbl>
    <w:p w14:paraId="09C6C926" w14:textId="6B1E0B5A" w:rsidR="0047366D" w:rsidRPr="008F0D85" w:rsidRDefault="0047366D" w:rsidP="00E325F9">
      <w:pPr>
        <w:jc w:val="both"/>
        <w:rPr>
          <w:color w:val="44546A" w:themeColor="text2"/>
        </w:rPr>
      </w:pPr>
    </w:p>
    <w:p w14:paraId="0FE8242C" w14:textId="5D59B5FE" w:rsidR="001870C4" w:rsidRPr="008F0D85" w:rsidRDefault="001870C4" w:rsidP="00884C8C">
      <w:pPr>
        <w:pStyle w:val="Heading4"/>
      </w:pPr>
      <w:r w:rsidRPr="008F0D85">
        <w:t>Boundaries</w:t>
      </w:r>
    </w:p>
    <w:p w14:paraId="35E37AEB" w14:textId="15E1B64E" w:rsidR="00175C1C" w:rsidRPr="008F0D85" w:rsidRDefault="00175C1C" w:rsidP="00175C1C">
      <w:pPr>
        <w:jc w:val="both"/>
        <w:rPr>
          <w:color w:val="44546A" w:themeColor="text2"/>
        </w:rPr>
      </w:pPr>
      <w:r w:rsidRPr="008F0D85">
        <w:rPr>
          <w:color w:val="44546A" w:themeColor="text2"/>
        </w:rPr>
        <w:t>CAML does not operate on a franchise model and thus</w:t>
      </w:r>
      <w:r w:rsidR="00E229A1">
        <w:rPr>
          <w:color w:val="44546A" w:themeColor="text2"/>
        </w:rPr>
        <w:t>,</w:t>
      </w:r>
      <w:r w:rsidRPr="008F0D85">
        <w:rPr>
          <w:color w:val="44546A" w:themeColor="text2"/>
        </w:rPr>
        <w:t xml:space="preserve"> has no franchisees for which emissions can be attributed.</w:t>
      </w:r>
    </w:p>
    <w:p w14:paraId="40434790" w14:textId="2C5E6519" w:rsidR="0087210A" w:rsidRDefault="0087210A" w:rsidP="0087210A">
      <w:pPr>
        <w:pStyle w:val="Heading4"/>
      </w:pPr>
      <w:r>
        <w:t>Calculation method</w:t>
      </w:r>
    </w:p>
    <w:p w14:paraId="701D4211" w14:textId="4886F3A1" w:rsidR="0087210A" w:rsidRPr="0087210A" w:rsidRDefault="0087210A" w:rsidP="0087210A">
      <w:pPr>
        <w:rPr>
          <w:color w:val="44546A" w:themeColor="text2"/>
        </w:rPr>
      </w:pPr>
      <w:r w:rsidRPr="0087210A">
        <w:rPr>
          <w:color w:val="44546A" w:themeColor="text2"/>
        </w:rPr>
        <w:t>N/A</w:t>
      </w:r>
    </w:p>
    <w:p w14:paraId="2D7C6F74" w14:textId="56F9EE6D" w:rsidR="0087210A" w:rsidRPr="008F0D85" w:rsidRDefault="0087210A" w:rsidP="0087210A">
      <w:pPr>
        <w:pStyle w:val="Heading4"/>
      </w:pPr>
      <w:r w:rsidRPr="008F0D85">
        <w:t>Assumptions</w:t>
      </w:r>
    </w:p>
    <w:p w14:paraId="19CC7090" w14:textId="2B2205AC" w:rsidR="0087210A" w:rsidRPr="0087210A" w:rsidRDefault="0087210A" w:rsidP="0087210A">
      <w:pPr>
        <w:jc w:val="both"/>
        <w:rPr>
          <w:color w:val="44546A" w:themeColor="text2"/>
        </w:rPr>
      </w:pPr>
      <w:r w:rsidRPr="0087210A">
        <w:rPr>
          <w:color w:val="44546A" w:themeColor="text2"/>
        </w:rPr>
        <w:t>N/A</w:t>
      </w:r>
    </w:p>
    <w:p w14:paraId="5306F95C" w14:textId="6609BFB5" w:rsidR="0087210A" w:rsidRPr="008F0D85" w:rsidRDefault="0087210A" w:rsidP="0087210A">
      <w:pPr>
        <w:pStyle w:val="Heading4"/>
      </w:pPr>
      <w:r w:rsidRPr="008F0D85">
        <w:t>Inclusion and exclusion</w:t>
      </w:r>
    </w:p>
    <w:p w14:paraId="4D992F57" w14:textId="3BB2DD93" w:rsidR="0087210A" w:rsidRPr="0087210A" w:rsidRDefault="0087210A" w:rsidP="0087210A">
      <w:pPr>
        <w:jc w:val="both"/>
        <w:rPr>
          <w:color w:val="44546A" w:themeColor="text2"/>
        </w:rPr>
      </w:pPr>
      <w:r w:rsidRPr="0087210A">
        <w:rPr>
          <w:color w:val="44546A" w:themeColor="text2"/>
        </w:rPr>
        <w:t>N/A</w:t>
      </w:r>
    </w:p>
    <w:p w14:paraId="0D1A8103" w14:textId="57EB36FA" w:rsidR="001870C4" w:rsidRPr="008F0D85" w:rsidRDefault="001870C4" w:rsidP="00801D97">
      <w:pPr>
        <w:jc w:val="both"/>
        <w:rPr>
          <w:b/>
          <w:bCs/>
          <w:color w:val="44546A" w:themeColor="text2"/>
          <w:u w:val="single"/>
        </w:rPr>
      </w:pPr>
    </w:p>
    <w:p w14:paraId="734E5D16" w14:textId="77777777" w:rsidR="00E84A11" w:rsidRPr="008F0D85" w:rsidRDefault="00E84A11" w:rsidP="001870C4">
      <w:pPr>
        <w:jc w:val="both"/>
        <w:rPr>
          <w:color w:val="44546A" w:themeColor="text2"/>
        </w:rPr>
      </w:pPr>
    </w:p>
    <w:p w14:paraId="4F57C7C1" w14:textId="77777777" w:rsidR="00E84A11" w:rsidRPr="008F0D85" w:rsidRDefault="00E84A11" w:rsidP="001870C4">
      <w:pPr>
        <w:jc w:val="both"/>
        <w:rPr>
          <w:color w:val="44546A" w:themeColor="text2"/>
        </w:rPr>
      </w:pPr>
    </w:p>
    <w:p w14:paraId="40388964" w14:textId="77777777" w:rsidR="00E84A11" w:rsidRPr="008F0D85" w:rsidRDefault="00E84A11" w:rsidP="001870C4">
      <w:pPr>
        <w:jc w:val="both"/>
        <w:rPr>
          <w:color w:val="44546A" w:themeColor="text2"/>
        </w:rPr>
      </w:pPr>
    </w:p>
    <w:p w14:paraId="740FAE39" w14:textId="77777777" w:rsidR="00E84A11" w:rsidRPr="008F0D85" w:rsidRDefault="00E84A11" w:rsidP="001870C4">
      <w:pPr>
        <w:jc w:val="both"/>
        <w:rPr>
          <w:color w:val="44546A" w:themeColor="text2"/>
        </w:rPr>
      </w:pPr>
    </w:p>
    <w:p w14:paraId="2B5E2FB8" w14:textId="77777777" w:rsidR="00E84A11" w:rsidRPr="00B43CF5" w:rsidRDefault="00E84A11" w:rsidP="001870C4">
      <w:pPr>
        <w:jc w:val="both"/>
      </w:pPr>
    </w:p>
    <w:p w14:paraId="1D7625EA" w14:textId="77777777" w:rsidR="00E84A11" w:rsidRPr="00B43CF5" w:rsidRDefault="00E84A11" w:rsidP="001870C4">
      <w:pPr>
        <w:jc w:val="both"/>
      </w:pPr>
    </w:p>
    <w:p w14:paraId="0C5D1CEA" w14:textId="77777777" w:rsidR="00E84A11" w:rsidRPr="00B43CF5" w:rsidRDefault="00E84A11" w:rsidP="001870C4">
      <w:pPr>
        <w:jc w:val="both"/>
      </w:pPr>
    </w:p>
    <w:p w14:paraId="6BD3DA23" w14:textId="77777777" w:rsidR="00E84A11" w:rsidRPr="00B43CF5" w:rsidRDefault="00E84A11" w:rsidP="001870C4">
      <w:pPr>
        <w:jc w:val="both"/>
      </w:pPr>
    </w:p>
    <w:p w14:paraId="58FCEAC7" w14:textId="77777777" w:rsidR="00E84A11" w:rsidRDefault="00E84A11" w:rsidP="001870C4">
      <w:pPr>
        <w:jc w:val="both"/>
      </w:pPr>
    </w:p>
    <w:p w14:paraId="21085E02" w14:textId="77777777" w:rsidR="000551C7" w:rsidRPr="00B43CF5" w:rsidRDefault="000551C7" w:rsidP="001870C4">
      <w:pPr>
        <w:jc w:val="both"/>
      </w:pPr>
    </w:p>
    <w:p w14:paraId="722209F6" w14:textId="77777777" w:rsidR="000551C7" w:rsidRPr="00B43CF5" w:rsidRDefault="000551C7" w:rsidP="001870C4">
      <w:pPr>
        <w:jc w:val="both"/>
      </w:pPr>
    </w:p>
    <w:p w14:paraId="1A3E6DCF" w14:textId="155046DE" w:rsidR="00884C8C" w:rsidRDefault="00884C8C">
      <w:r>
        <w:br w:type="page"/>
      </w:r>
    </w:p>
    <w:p w14:paraId="2C57E204" w14:textId="77777777" w:rsidR="00734AC5" w:rsidRDefault="00734AC5" w:rsidP="00734AC5">
      <w:pPr>
        <w:pStyle w:val="Heading3"/>
      </w:pPr>
      <w:bookmarkStart w:id="33" w:name="_Toc162473886"/>
      <w:bookmarkStart w:id="34" w:name="_Toc194670384"/>
      <w:r>
        <w:lastRenderedPageBreak/>
        <w:t>Category 15 – Investments</w:t>
      </w:r>
      <w:bookmarkEnd w:id="33"/>
      <w:bookmarkEnd w:id="34"/>
    </w:p>
    <w:tbl>
      <w:tblPr>
        <w:tblStyle w:val="GridTable5Dark-Accent2"/>
        <w:tblpPr w:leftFromText="180" w:rightFromText="180" w:vertAnchor="text" w:horzAnchor="margin" w:tblpY="133"/>
        <w:tblW w:w="9378" w:type="dxa"/>
        <w:tblLook w:val="04A0" w:firstRow="1" w:lastRow="0" w:firstColumn="1" w:lastColumn="0" w:noHBand="0" w:noVBand="1"/>
      </w:tblPr>
      <w:tblGrid>
        <w:gridCol w:w="2263"/>
        <w:gridCol w:w="7115"/>
      </w:tblGrid>
      <w:tr w:rsidR="00734AC5" w14:paraId="3B3E3214" w14:textId="77777777" w:rsidTr="00734AC5">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78" w:type="dxa"/>
            <w:gridSpan w:val="2"/>
            <w:tcBorders>
              <w:bottom w:val="single" w:sz="4" w:space="0" w:color="FFFFFF" w:themeColor="background1"/>
            </w:tcBorders>
            <w:shd w:val="clear" w:color="auto" w:fill="3E5C60"/>
            <w:hideMark/>
          </w:tcPr>
          <w:p w14:paraId="428674DE" w14:textId="77777777" w:rsidR="00734AC5" w:rsidRDefault="00734AC5">
            <w:pPr>
              <w:jc w:val="both"/>
            </w:pPr>
            <w:r>
              <w:t xml:space="preserve">Category 15 </w:t>
            </w:r>
          </w:p>
        </w:tc>
      </w:tr>
      <w:tr w:rsidR="00734AC5" w14:paraId="2570A3F1" w14:textId="77777777" w:rsidTr="00734AC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bottom w:val="single" w:sz="4" w:space="0" w:color="FFFFFF" w:themeColor="background1"/>
              <w:right w:val="single" w:sz="4" w:space="0" w:color="FFFFFF" w:themeColor="background1"/>
            </w:tcBorders>
            <w:shd w:val="clear" w:color="auto" w:fill="3E5C60"/>
            <w:hideMark/>
          </w:tcPr>
          <w:p w14:paraId="5C140367" w14:textId="77777777" w:rsidR="00734AC5" w:rsidRDefault="00734AC5">
            <w:pPr>
              <w:jc w:val="both"/>
            </w:pPr>
            <w:r>
              <w:t>Description</w:t>
            </w:r>
          </w:p>
        </w:tc>
        <w:tc>
          <w:tcPr>
            <w:tcW w:w="7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3D5D7"/>
          </w:tcPr>
          <w:p w14:paraId="06D373F8" w14:textId="77777777" w:rsidR="00734AC5" w:rsidRDefault="00734AC5">
            <w:pPr>
              <w:jc w:val="both"/>
              <w:cnfStyle w:val="000000100000" w:firstRow="0" w:lastRow="0" w:firstColumn="0" w:lastColumn="0" w:oddVBand="0" w:evenVBand="0" w:oddHBand="1" w:evenHBand="0" w:firstRowFirstColumn="0" w:firstRowLastColumn="0" w:lastRowFirstColumn="0" w:lastRowLastColumn="0"/>
              <w:rPr>
                <w:color w:val="44546A" w:themeColor="text2"/>
              </w:rPr>
            </w:pPr>
            <w:r>
              <w:rPr>
                <w:color w:val="44546A" w:themeColor="text2"/>
              </w:rPr>
              <w:t xml:space="preserve">Emissions associated with investment operations during the reporting year that fall outside of Scope 1 and Scope 2. </w:t>
            </w:r>
          </w:p>
          <w:p w14:paraId="791493A2" w14:textId="77777777" w:rsidR="00734AC5" w:rsidRDefault="00734AC5">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734AC5" w14:paraId="79A746A6" w14:textId="77777777" w:rsidTr="00734AC5">
        <w:trPr>
          <w:trHeight w:val="249"/>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bottom w:val="single" w:sz="4" w:space="0" w:color="FFFFFF" w:themeColor="background1"/>
              <w:right w:val="single" w:sz="4" w:space="0" w:color="FFFFFF" w:themeColor="background1"/>
            </w:tcBorders>
            <w:shd w:val="clear" w:color="auto" w:fill="3E5C60"/>
            <w:hideMark/>
          </w:tcPr>
          <w:p w14:paraId="6D4E1237" w14:textId="77777777" w:rsidR="00734AC5" w:rsidRDefault="00734AC5">
            <w:pPr>
              <w:jc w:val="both"/>
            </w:pPr>
            <w:r>
              <w:t>Emissions (</w:t>
            </w:r>
            <w:r>
              <w:rPr>
                <w:rFonts w:eastAsia="Times New Roman"/>
              </w:rPr>
              <w:t>tCO</w:t>
            </w:r>
            <w:r>
              <w:rPr>
                <w:rFonts w:eastAsia="Times New Roman"/>
                <w:vertAlign w:val="subscript"/>
              </w:rPr>
              <w:t>2</w:t>
            </w:r>
            <w:r>
              <w:rPr>
                <w:rFonts w:eastAsia="Times New Roman"/>
              </w:rPr>
              <w:t>e)</w:t>
            </w:r>
          </w:p>
        </w:tc>
        <w:tc>
          <w:tcPr>
            <w:tcW w:w="7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AEB"/>
            <w:hideMark/>
          </w:tcPr>
          <w:p w14:paraId="671DB4A0" w14:textId="77777777" w:rsidR="00734AC5" w:rsidRDefault="00734AC5">
            <w:pPr>
              <w:jc w:val="both"/>
              <w:cnfStyle w:val="000000000000" w:firstRow="0" w:lastRow="0" w:firstColumn="0" w:lastColumn="0" w:oddVBand="0" w:evenVBand="0" w:oddHBand="0" w:evenHBand="0" w:firstRowFirstColumn="0" w:firstRowLastColumn="0" w:lastRowFirstColumn="0" w:lastRowLastColumn="0"/>
              <w:rPr>
                <w:color w:val="44546A" w:themeColor="text2"/>
              </w:rPr>
            </w:pPr>
            <w:r>
              <w:rPr>
                <w:color w:val="44546A" w:themeColor="text2"/>
              </w:rPr>
              <w:t>-</w:t>
            </w:r>
          </w:p>
        </w:tc>
      </w:tr>
      <w:tr w:rsidR="00734AC5" w14:paraId="4B6F1874" w14:textId="77777777" w:rsidTr="00734AC5">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bottom w:val="single" w:sz="4" w:space="0" w:color="FFFFFF" w:themeColor="background1"/>
              <w:right w:val="single" w:sz="4" w:space="0" w:color="FFFFFF" w:themeColor="background1"/>
            </w:tcBorders>
            <w:shd w:val="clear" w:color="auto" w:fill="3E5C60"/>
            <w:hideMark/>
          </w:tcPr>
          <w:p w14:paraId="214E370F" w14:textId="77777777" w:rsidR="00734AC5" w:rsidRDefault="00734AC5">
            <w:pPr>
              <w:jc w:val="both"/>
            </w:pPr>
            <w:r>
              <w:t>Calculation</w:t>
            </w:r>
          </w:p>
        </w:tc>
        <w:tc>
          <w:tcPr>
            <w:tcW w:w="7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3D5D7"/>
          </w:tcPr>
          <w:p w14:paraId="50A2EB87" w14:textId="77777777" w:rsidR="00734AC5" w:rsidRDefault="00734AC5">
            <w:pPr>
              <w:jc w:val="both"/>
              <w:cnfStyle w:val="000000100000" w:firstRow="0" w:lastRow="0" w:firstColumn="0" w:lastColumn="0" w:oddVBand="0" w:evenVBand="0" w:oddHBand="1" w:evenHBand="0" w:firstRowFirstColumn="0" w:firstRowLastColumn="0" w:lastRowFirstColumn="0" w:lastRowLastColumn="0"/>
              <w:rPr>
                <w:color w:val="44546A" w:themeColor="text2"/>
              </w:rPr>
            </w:pPr>
            <w:r>
              <w:rPr>
                <w:color w:val="44546A" w:themeColor="text2"/>
              </w:rPr>
              <w:t>N/A - Not-material</w:t>
            </w:r>
          </w:p>
          <w:p w14:paraId="153272E9" w14:textId="77777777" w:rsidR="00734AC5" w:rsidRDefault="00734AC5">
            <w:pPr>
              <w:jc w:val="both"/>
              <w:cnfStyle w:val="000000100000" w:firstRow="0" w:lastRow="0" w:firstColumn="0" w:lastColumn="0" w:oddVBand="0" w:evenVBand="0" w:oddHBand="1" w:evenHBand="0" w:firstRowFirstColumn="0" w:firstRowLastColumn="0" w:lastRowFirstColumn="0" w:lastRowLastColumn="0"/>
              <w:rPr>
                <w:color w:val="44546A" w:themeColor="text2"/>
              </w:rPr>
            </w:pPr>
          </w:p>
        </w:tc>
      </w:tr>
      <w:tr w:rsidR="00734AC5" w14:paraId="0295DD17" w14:textId="77777777" w:rsidTr="00734AC5">
        <w:trPr>
          <w:trHeight w:val="249"/>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bottom w:val="single" w:sz="4" w:space="0" w:color="FFFFFF" w:themeColor="background1"/>
              <w:right w:val="single" w:sz="4" w:space="0" w:color="FFFFFF" w:themeColor="background1"/>
            </w:tcBorders>
            <w:shd w:val="clear" w:color="auto" w:fill="3E5C60"/>
            <w:hideMark/>
          </w:tcPr>
          <w:p w14:paraId="000A02BF" w14:textId="77777777" w:rsidR="00734AC5" w:rsidRDefault="00734AC5">
            <w:pPr>
              <w:jc w:val="both"/>
            </w:pPr>
            <w:r>
              <w:t>Activity data source</w:t>
            </w:r>
          </w:p>
        </w:tc>
        <w:tc>
          <w:tcPr>
            <w:tcW w:w="7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AEB"/>
          </w:tcPr>
          <w:p w14:paraId="1B17FC61" w14:textId="77777777" w:rsidR="00734AC5" w:rsidRDefault="00734AC5">
            <w:pPr>
              <w:jc w:val="both"/>
              <w:cnfStyle w:val="000000000000" w:firstRow="0" w:lastRow="0" w:firstColumn="0" w:lastColumn="0" w:oddVBand="0" w:evenVBand="0" w:oddHBand="0" w:evenHBand="0" w:firstRowFirstColumn="0" w:firstRowLastColumn="0" w:lastRowFirstColumn="0" w:lastRowLastColumn="0"/>
              <w:rPr>
                <w:color w:val="44546A" w:themeColor="text2"/>
              </w:rPr>
            </w:pPr>
            <w:r>
              <w:rPr>
                <w:color w:val="44546A" w:themeColor="text2"/>
              </w:rPr>
              <w:t>No significant emissions produced from investments.</w:t>
            </w:r>
          </w:p>
          <w:p w14:paraId="0239E86A" w14:textId="77777777" w:rsidR="00734AC5" w:rsidRDefault="00734AC5">
            <w:pPr>
              <w:jc w:val="both"/>
              <w:cnfStyle w:val="000000000000" w:firstRow="0" w:lastRow="0" w:firstColumn="0" w:lastColumn="0" w:oddVBand="0" w:evenVBand="0" w:oddHBand="0" w:evenHBand="0" w:firstRowFirstColumn="0" w:firstRowLastColumn="0" w:lastRowFirstColumn="0" w:lastRowLastColumn="0"/>
              <w:rPr>
                <w:color w:val="44546A" w:themeColor="text2"/>
              </w:rPr>
            </w:pPr>
          </w:p>
        </w:tc>
      </w:tr>
      <w:tr w:rsidR="00734AC5" w14:paraId="1B19F962" w14:textId="77777777" w:rsidTr="00734AC5">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right w:val="single" w:sz="4" w:space="0" w:color="FFFFFF" w:themeColor="background1"/>
            </w:tcBorders>
            <w:shd w:val="clear" w:color="auto" w:fill="3E5C60"/>
            <w:hideMark/>
          </w:tcPr>
          <w:p w14:paraId="4A4F5FC6" w14:textId="77777777" w:rsidR="00734AC5" w:rsidRDefault="00734AC5">
            <w:pPr>
              <w:jc w:val="both"/>
            </w:pPr>
            <w:r>
              <w:t>Emissions data source</w:t>
            </w:r>
          </w:p>
        </w:tc>
        <w:tc>
          <w:tcPr>
            <w:tcW w:w="7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3D5D7"/>
            <w:hideMark/>
          </w:tcPr>
          <w:p w14:paraId="621A040B" w14:textId="77777777" w:rsidR="00734AC5" w:rsidRDefault="00734AC5">
            <w:pPr>
              <w:jc w:val="both"/>
              <w:cnfStyle w:val="000000100000" w:firstRow="0" w:lastRow="0" w:firstColumn="0" w:lastColumn="0" w:oddVBand="0" w:evenVBand="0" w:oddHBand="1" w:evenHBand="0" w:firstRowFirstColumn="0" w:firstRowLastColumn="0" w:lastRowFirstColumn="0" w:lastRowLastColumn="0"/>
              <w:rPr>
                <w:color w:val="44546A" w:themeColor="text2"/>
              </w:rPr>
            </w:pPr>
            <w:r>
              <w:rPr>
                <w:color w:val="44546A" w:themeColor="text2"/>
              </w:rPr>
              <w:t>N/A</w:t>
            </w:r>
          </w:p>
        </w:tc>
      </w:tr>
    </w:tbl>
    <w:p w14:paraId="4E80E0D8" w14:textId="77777777" w:rsidR="00734AC5" w:rsidRDefault="00734AC5" w:rsidP="00734AC5">
      <w:pPr>
        <w:jc w:val="both"/>
      </w:pPr>
    </w:p>
    <w:p w14:paraId="413E99CE" w14:textId="77777777" w:rsidR="00734AC5" w:rsidRDefault="00734AC5" w:rsidP="00734AC5">
      <w:pPr>
        <w:pStyle w:val="Heading4"/>
      </w:pPr>
      <w:r>
        <w:t>Boundaries</w:t>
      </w:r>
    </w:p>
    <w:p w14:paraId="199F5DCA" w14:textId="632B16EB" w:rsidR="00734AC5" w:rsidRDefault="00734AC5" w:rsidP="00734AC5">
      <w:pPr>
        <w:jc w:val="both"/>
        <w:rPr>
          <w:color w:val="44546A" w:themeColor="text2"/>
        </w:rPr>
      </w:pPr>
      <w:r>
        <w:rPr>
          <w:color w:val="44546A" w:themeColor="text2"/>
        </w:rPr>
        <w:t>There are no material emissions arising from our investments during the year ended 31 December 202</w:t>
      </w:r>
      <w:r w:rsidR="0073279B">
        <w:rPr>
          <w:color w:val="44546A" w:themeColor="text2"/>
        </w:rPr>
        <w:t>4</w:t>
      </w:r>
      <w:r>
        <w:rPr>
          <w:color w:val="44546A" w:themeColor="text2"/>
        </w:rPr>
        <w:t>.</w:t>
      </w:r>
    </w:p>
    <w:p w14:paraId="11DDBBB8" w14:textId="77777777" w:rsidR="00734AC5" w:rsidRDefault="00734AC5" w:rsidP="00734AC5">
      <w:pPr>
        <w:pStyle w:val="Heading4"/>
      </w:pPr>
      <w:r>
        <w:t>Calculation method</w:t>
      </w:r>
    </w:p>
    <w:p w14:paraId="02773134" w14:textId="77777777" w:rsidR="00734AC5" w:rsidRDefault="00734AC5" w:rsidP="00734AC5">
      <w:pPr>
        <w:rPr>
          <w:color w:val="44546A" w:themeColor="text2"/>
        </w:rPr>
      </w:pPr>
      <w:r>
        <w:rPr>
          <w:color w:val="44546A" w:themeColor="text2"/>
        </w:rPr>
        <w:t>N/A</w:t>
      </w:r>
    </w:p>
    <w:p w14:paraId="31A74393" w14:textId="77777777" w:rsidR="00734AC5" w:rsidRDefault="00734AC5" w:rsidP="00734AC5">
      <w:pPr>
        <w:pStyle w:val="Heading4"/>
      </w:pPr>
      <w:r>
        <w:t>Assumptions</w:t>
      </w:r>
    </w:p>
    <w:p w14:paraId="78D83445" w14:textId="77777777" w:rsidR="00734AC5" w:rsidRDefault="00734AC5" w:rsidP="00734AC5">
      <w:pPr>
        <w:jc w:val="both"/>
        <w:rPr>
          <w:color w:val="44546A" w:themeColor="text2"/>
        </w:rPr>
      </w:pPr>
      <w:r>
        <w:rPr>
          <w:color w:val="44546A" w:themeColor="text2"/>
        </w:rPr>
        <w:t>N/A</w:t>
      </w:r>
    </w:p>
    <w:p w14:paraId="195A320E" w14:textId="77777777" w:rsidR="00734AC5" w:rsidRDefault="00734AC5" w:rsidP="00734AC5">
      <w:pPr>
        <w:pStyle w:val="Heading4"/>
      </w:pPr>
      <w:r>
        <w:t>Inclusion and exclusion</w:t>
      </w:r>
    </w:p>
    <w:p w14:paraId="343F07A5" w14:textId="77777777" w:rsidR="00734AC5" w:rsidRDefault="00734AC5" w:rsidP="00734AC5">
      <w:pPr>
        <w:jc w:val="both"/>
        <w:rPr>
          <w:color w:val="44546A" w:themeColor="text2"/>
        </w:rPr>
      </w:pPr>
      <w:r>
        <w:rPr>
          <w:color w:val="44546A" w:themeColor="text2"/>
        </w:rPr>
        <w:t>The Group hold some investments in exploration companies, however, given limited scope of work at this stage these are immaterial, and the emissions have not been included.</w:t>
      </w:r>
    </w:p>
    <w:p w14:paraId="7115267F" w14:textId="77777777" w:rsidR="00734AC5" w:rsidRDefault="00734AC5" w:rsidP="00734AC5">
      <w:pPr>
        <w:jc w:val="both"/>
        <w:rPr>
          <w:color w:val="44546A" w:themeColor="text2"/>
        </w:rPr>
      </w:pPr>
    </w:p>
    <w:p w14:paraId="712F8FF2" w14:textId="77777777" w:rsidR="00D62CA3" w:rsidRPr="008F0D85" w:rsidRDefault="00D62CA3" w:rsidP="00E325F9">
      <w:pPr>
        <w:jc w:val="both"/>
        <w:rPr>
          <w:color w:val="44546A" w:themeColor="text2"/>
        </w:rPr>
      </w:pPr>
    </w:p>
    <w:p w14:paraId="737B7F5F" w14:textId="77777777" w:rsidR="00D62CA3" w:rsidRPr="008F0D85" w:rsidRDefault="00D62CA3" w:rsidP="00E325F9">
      <w:pPr>
        <w:jc w:val="both"/>
        <w:rPr>
          <w:color w:val="44546A" w:themeColor="text2"/>
        </w:rPr>
      </w:pPr>
    </w:p>
    <w:p w14:paraId="197AD81F" w14:textId="77777777" w:rsidR="00D62CA3" w:rsidRPr="008F0D85" w:rsidRDefault="00D62CA3" w:rsidP="00E325F9">
      <w:pPr>
        <w:jc w:val="both"/>
        <w:rPr>
          <w:color w:val="44546A" w:themeColor="text2"/>
        </w:rPr>
      </w:pPr>
    </w:p>
    <w:p w14:paraId="629C245A" w14:textId="77777777" w:rsidR="00D62CA3" w:rsidRPr="008F0D85" w:rsidRDefault="00D62CA3" w:rsidP="00E325F9">
      <w:pPr>
        <w:jc w:val="both"/>
        <w:rPr>
          <w:color w:val="44546A" w:themeColor="text2"/>
        </w:rPr>
      </w:pPr>
    </w:p>
    <w:p w14:paraId="6C693284" w14:textId="77777777" w:rsidR="00D62CA3" w:rsidRPr="008F0D85" w:rsidRDefault="00D62CA3" w:rsidP="00E325F9">
      <w:pPr>
        <w:jc w:val="both"/>
        <w:rPr>
          <w:color w:val="44546A" w:themeColor="text2"/>
        </w:rPr>
      </w:pPr>
    </w:p>
    <w:p w14:paraId="67BDF66A" w14:textId="638D4477" w:rsidR="00884C8C" w:rsidRDefault="00884C8C">
      <w:pPr>
        <w:rPr>
          <w:color w:val="44546A" w:themeColor="text2"/>
        </w:rPr>
      </w:pPr>
      <w:r>
        <w:rPr>
          <w:color w:val="44546A" w:themeColor="text2"/>
        </w:rPr>
        <w:br w:type="page"/>
      </w:r>
    </w:p>
    <w:p w14:paraId="16E92352" w14:textId="05556EE1" w:rsidR="00D62CA3" w:rsidRDefault="003D54A5" w:rsidP="00884C8C">
      <w:pPr>
        <w:pStyle w:val="Heading1"/>
      </w:pPr>
      <w:bookmarkStart w:id="35" w:name="_Toc194670385"/>
      <w:r w:rsidRPr="008F0D85">
        <w:lastRenderedPageBreak/>
        <w:t>Appendix 1</w:t>
      </w:r>
      <w:r w:rsidR="00E13400">
        <w:t xml:space="preserve"> -</w:t>
      </w:r>
      <w:r w:rsidRPr="008F0D85">
        <w:t xml:space="preserve"> </w:t>
      </w:r>
      <w:r w:rsidR="00D62CA3" w:rsidRPr="008F0D85">
        <w:t>Glossary</w:t>
      </w:r>
      <w:r w:rsidRPr="008F0D85">
        <w:t xml:space="preserve"> of terms</w:t>
      </w:r>
      <w:bookmarkEnd w:id="35"/>
      <w:r w:rsidRPr="008F0D85">
        <w:t xml:space="preserve"> </w:t>
      </w:r>
    </w:p>
    <w:p w14:paraId="764AE6F8" w14:textId="77777777" w:rsidR="00884C8C" w:rsidRPr="00884C8C" w:rsidRDefault="00884C8C" w:rsidP="00884C8C">
      <w:pPr>
        <w:rPr>
          <w:lang w:val="en-CA"/>
        </w:rPr>
      </w:pPr>
    </w:p>
    <w:p w14:paraId="4BD28316" w14:textId="77777777" w:rsidR="00734AC5" w:rsidRDefault="0035372F" w:rsidP="0091424F">
      <w:pPr>
        <w:tabs>
          <w:tab w:val="left" w:pos="4820"/>
        </w:tabs>
        <w:jc w:val="both"/>
        <w:rPr>
          <w:color w:val="44546A" w:themeColor="text2"/>
        </w:rPr>
      </w:pPr>
      <w:r w:rsidRPr="008F0D85">
        <w:rPr>
          <w:b/>
          <w:bCs/>
          <w:color w:val="44546A" w:themeColor="text2"/>
        </w:rPr>
        <w:t xml:space="preserve">Activity Data - </w:t>
      </w:r>
      <w:r w:rsidRPr="008F0D85">
        <w:rPr>
          <w:color w:val="44546A" w:themeColor="text2"/>
        </w:rPr>
        <w:t>quantitative information detailing the specific actions, processes, or events that generate or involve the emission of pollutants, energy consumption, or other relevant environmental metrics, often used in environmental assessments and reporting.</w:t>
      </w:r>
    </w:p>
    <w:p w14:paraId="3FC91F18" w14:textId="5C1C7C1E" w:rsidR="0091424F" w:rsidRDefault="0091424F" w:rsidP="0091424F">
      <w:pPr>
        <w:tabs>
          <w:tab w:val="left" w:pos="4820"/>
        </w:tabs>
        <w:jc w:val="both"/>
        <w:rPr>
          <w:color w:val="44546A" w:themeColor="text2"/>
        </w:rPr>
      </w:pPr>
      <w:r w:rsidRPr="008F0D85">
        <w:rPr>
          <w:b/>
          <w:bCs/>
          <w:color w:val="44546A" w:themeColor="text2"/>
        </w:rPr>
        <w:t xml:space="preserve">Capital Goods </w:t>
      </w:r>
      <w:r w:rsidRPr="008F0D85">
        <w:rPr>
          <w:color w:val="44546A" w:themeColor="text2"/>
        </w:rPr>
        <w:t>– durable and long-lasting assets, such as machinery, equipment, and buildings, used in the production of goods and services by businesses.</w:t>
      </w:r>
    </w:p>
    <w:p w14:paraId="3F4B8DFB" w14:textId="77777777" w:rsidR="0091424F" w:rsidRPr="008F0D85" w:rsidRDefault="0091424F" w:rsidP="0091424F">
      <w:pPr>
        <w:tabs>
          <w:tab w:val="left" w:pos="4820"/>
        </w:tabs>
        <w:jc w:val="both"/>
        <w:rPr>
          <w:b/>
          <w:bCs/>
          <w:color w:val="44546A" w:themeColor="text2"/>
        </w:rPr>
      </w:pPr>
      <w:r w:rsidRPr="008F0D85">
        <w:rPr>
          <w:b/>
          <w:bCs/>
          <w:color w:val="44546A" w:themeColor="text2"/>
        </w:rPr>
        <w:t xml:space="preserve">Cradle to Gate </w:t>
      </w:r>
      <w:r w:rsidRPr="008F0D85">
        <w:rPr>
          <w:color w:val="44546A" w:themeColor="text2"/>
        </w:rPr>
        <w:t>– a life cycle assessment approach that evaluates the environmental impact of a product or process from raw material extraction (cradle) to the factory gate, excluding subsequent stages like product use and disposal.</w:t>
      </w:r>
    </w:p>
    <w:p w14:paraId="3F5E9B5A" w14:textId="17B3F9FF" w:rsidR="0035372F" w:rsidRPr="008F0D85" w:rsidRDefault="0035372F" w:rsidP="0035372F">
      <w:pPr>
        <w:tabs>
          <w:tab w:val="left" w:pos="4820"/>
        </w:tabs>
        <w:jc w:val="both"/>
        <w:rPr>
          <w:b/>
          <w:bCs/>
          <w:color w:val="44546A" w:themeColor="text2"/>
        </w:rPr>
      </w:pPr>
      <w:r w:rsidRPr="008F0D85">
        <w:rPr>
          <w:b/>
          <w:bCs/>
          <w:color w:val="44546A" w:themeColor="text2"/>
        </w:rPr>
        <w:t xml:space="preserve">Downstream </w:t>
      </w:r>
      <w:r w:rsidR="000B4F81">
        <w:rPr>
          <w:b/>
          <w:bCs/>
          <w:color w:val="44546A" w:themeColor="text2"/>
        </w:rPr>
        <w:t>E</w:t>
      </w:r>
      <w:r w:rsidRPr="008F0D85">
        <w:rPr>
          <w:b/>
          <w:bCs/>
          <w:color w:val="44546A" w:themeColor="text2"/>
        </w:rPr>
        <w:t xml:space="preserve">missions </w:t>
      </w:r>
      <w:r w:rsidRPr="008F0D85">
        <w:rPr>
          <w:color w:val="44546A" w:themeColor="text2"/>
        </w:rPr>
        <w:t>- greenhouse gas emissions produced during the distribution, consumption, and disposal phases of a product's life cycle, after its production and prior to the end of its useful life.</w:t>
      </w:r>
    </w:p>
    <w:p w14:paraId="2B7AB1C0" w14:textId="77777777" w:rsidR="0035372F" w:rsidRDefault="0035372F" w:rsidP="0035372F">
      <w:pPr>
        <w:tabs>
          <w:tab w:val="left" w:pos="4820"/>
        </w:tabs>
        <w:jc w:val="both"/>
        <w:rPr>
          <w:color w:val="44546A" w:themeColor="text2"/>
        </w:rPr>
      </w:pPr>
      <w:r w:rsidRPr="008F0D85">
        <w:rPr>
          <w:b/>
          <w:bCs/>
          <w:color w:val="44546A" w:themeColor="text2"/>
        </w:rPr>
        <w:t xml:space="preserve">Emissions Factor </w:t>
      </w:r>
      <w:r w:rsidRPr="008F0D85">
        <w:rPr>
          <w:color w:val="44546A" w:themeColor="text2"/>
        </w:rPr>
        <w:t>– a numerical representation of the amount of a specific pollutant released into the atmosphere per unit of activity, such as energy production or industrial processes, providing a standard measure for estimating emissions.</w:t>
      </w:r>
    </w:p>
    <w:p w14:paraId="1F2B5BAE" w14:textId="77777777" w:rsidR="0035372F" w:rsidRDefault="0035372F" w:rsidP="0035372F">
      <w:pPr>
        <w:tabs>
          <w:tab w:val="left" w:pos="4820"/>
        </w:tabs>
        <w:jc w:val="both"/>
        <w:rPr>
          <w:color w:val="44546A" w:themeColor="text2"/>
        </w:rPr>
      </w:pPr>
      <w:r w:rsidRPr="008F0D85">
        <w:rPr>
          <w:b/>
          <w:bCs/>
          <w:color w:val="44546A" w:themeColor="text2"/>
        </w:rPr>
        <w:t xml:space="preserve">Fleet Mobile Combustion – </w:t>
      </w:r>
      <w:r w:rsidRPr="008F0D85">
        <w:rPr>
          <w:color w:val="44546A" w:themeColor="text2"/>
        </w:rPr>
        <w:t>the burning of fossil fuels, such as gasoline or diesel, by a collection of mobile vehicles, like a fleet of cars, trucks, or other transportation means</w:t>
      </w:r>
      <w:r>
        <w:rPr>
          <w:color w:val="44546A" w:themeColor="text2"/>
        </w:rPr>
        <w:t>.</w:t>
      </w:r>
    </w:p>
    <w:p w14:paraId="34216970" w14:textId="77777777" w:rsidR="0035372F" w:rsidRPr="008F0D85" w:rsidRDefault="0035372F" w:rsidP="0035372F">
      <w:pPr>
        <w:tabs>
          <w:tab w:val="left" w:pos="4820"/>
        </w:tabs>
        <w:jc w:val="both"/>
        <w:rPr>
          <w:b/>
          <w:bCs/>
          <w:color w:val="44546A" w:themeColor="text2"/>
        </w:rPr>
      </w:pPr>
      <w:r w:rsidRPr="008F0D85">
        <w:rPr>
          <w:b/>
          <w:bCs/>
          <w:color w:val="44546A" w:themeColor="text2"/>
        </w:rPr>
        <w:t xml:space="preserve">Fugitive Emissions </w:t>
      </w:r>
      <w:r w:rsidRPr="008F0D85">
        <w:rPr>
          <w:color w:val="44546A" w:themeColor="text2"/>
        </w:rPr>
        <w:t>- unintended and uncontrolled releases of gases or vapours from industrial processes, equipment, or infrastructure, often escaping into the atmosphere without passing through a designated emission point</w:t>
      </w:r>
      <w:r>
        <w:rPr>
          <w:color w:val="44546A" w:themeColor="text2"/>
        </w:rPr>
        <w:t>.</w:t>
      </w:r>
    </w:p>
    <w:p w14:paraId="0A233818" w14:textId="4D6335AA" w:rsidR="006C6FB7" w:rsidRPr="008F0D85" w:rsidRDefault="00AA25D6" w:rsidP="00E2717B">
      <w:pPr>
        <w:tabs>
          <w:tab w:val="left" w:pos="4820"/>
        </w:tabs>
        <w:jc w:val="both"/>
        <w:rPr>
          <w:color w:val="44546A" w:themeColor="text2"/>
        </w:rPr>
      </w:pPr>
      <w:r w:rsidRPr="008F0D85">
        <w:rPr>
          <w:b/>
          <w:bCs/>
          <w:color w:val="44546A" w:themeColor="text2"/>
        </w:rPr>
        <w:t>Greenhouse</w:t>
      </w:r>
      <w:r w:rsidR="00E2717B" w:rsidRPr="008F0D85">
        <w:rPr>
          <w:b/>
          <w:bCs/>
          <w:color w:val="44546A" w:themeColor="text2"/>
        </w:rPr>
        <w:t xml:space="preserve"> </w:t>
      </w:r>
      <w:r w:rsidR="00A10F68">
        <w:rPr>
          <w:b/>
          <w:bCs/>
          <w:color w:val="44546A" w:themeColor="text2"/>
        </w:rPr>
        <w:t>G</w:t>
      </w:r>
      <w:r w:rsidR="00A10F68" w:rsidRPr="008F0D85">
        <w:rPr>
          <w:b/>
          <w:bCs/>
          <w:color w:val="44546A" w:themeColor="text2"/>
        </w:rPr>
        <w:t xml:space="preserve">as </w:t>
      </w:r>
      <w:r w:rsidR="00E2717B" w:rsidRPr="008F0D85">
        <w:rPr>
          <w:b/>
          <w:bCs/>
          <w:color w:val="44546A" w:themeColor="text2"/>
        </w:rPr>
        <w:t xml:space="preserve">- </w:t>
      </w:r>
      <w:r w:rsidR="00E2717B" w:rsidRPr="008F0D85">
        <w:rPr>
          <w:color w:val="44546A" w:themeColor="text2"/>
        </w:rPr>
        <w:t>A greenhouse gas is any gaseous compound, such as carbon dioxide or methane, that absorbs and emits radiation within the thermal infrared range, contributing to the greenhouse effect and influencing the Earth's climate.</w:t>
      </w:r>
      <w:r w:rsidR="006C6FB7" w:rsidRPr="008F0D85">
        <w:rPr>
          <w:color w:val="44546A" w:themeColor="text2"/>
        </w:rPr>
        <w:t xml:space="preserve"> Greenhouse gases accounted for in this report are the seven main gases covered by the UNFCCC/Kyoto Protocol as defined in GHG Protocol, as amended: carbon dioxide (CO</w:t>
      </w:r>
      <w:r w:rsidR="006C6FB7" w:rsidRPr="00DA35A0">
        <w:rPr>
          <w:color w:val="44546A" w:themeColor="text2"/>
          <w:vertAlign w:val="subscript"/>
        </w:rPr>
        <w:t>2</w:t>
      </w:r>
      <w:r w:rsidR="006C6FB7" w:rsidRPr="008F0D85">
        <w:rPr>
          <w:color w:val="44546A" w:themeColor="text2"/>
        </w:rPr>
        <w:t>); methane (CH</w:t>
      </w:r>
      <w:r w:rsidR="006C6FB7" w:rsidRPr="00DA35A0">
        <w:rPr>
          <w:color w:val="44546A" w:themeColor="text2"/>
          <w:vertAlign w:val="subscript"/>
        </w:rPr>
        <w:t>4</w:t>
      </w:r>
      <w:r w:rsidR="006C6FB7" w:rsidRPr="008F0D85">
        <w:rPr>
          <w:color w:val="44546A" w:themeColor="text2"/>
        </w:rPr>
        <w:t>); nitrous oxide (N</w:t>
      </w:r>
      <w:r w:rsidR="006C6FB7" w:rsidRPr="00DA35A0">
        <w:rPr>
          <w:color w:val="44546A" w:themeColor="text2"/>
          <w:vertAlign w:val="subscript"/>
        </w:rPr>
        <w:t>2</w:t>
      </w:r>
      <w:r w:rsidR="006C6FB7" w:rsidRPr="008F0D85">
        <w:rPr>
          <w:color w:val="44546A" w:themeColor="text2"/>
        </w:rPr>
        <w:t>O); hydrofluorocarbons (HFCs); perfluorocarbons (PFCs); sulphur hexafluoride (SF</w:t>
      </w:r>
      <w:r w:rsidR="006C6FB7" w:rsidRPr="00DA35A0">
        <w:rPr>
          <w:color w:val="44546A" w:themeColor="text2"/>
          <w:vertAlign w:val="subscript"/>
        </w:rPr>
        <w:t>6</w:t>
      </w:r>
      <w:r w:rsidR="006C6FB7" w:rsidRPr="008F0D85">
        <w:rPr>
          <w:color w:val="44546A" w:themeColor="text2"/>
        </w:rPr>
        <w:t>); and nitrogen trifluoride (NF</w:t>
      </w:r>
      <w:r w:rsidR="006C6FB7" w:rsidRPr="00DA35A0">
        <w:rPr>
          <w:color w:val="44546A" w:themeColor="text2"/>
          <w:vertAlign w:val="subscript"/>
        </w:rPr>
        <w:t>3</w:t>
      </w:r>
      <w:r w:rsidR="006C6FB7" w:rsidRPr="008F0D85">
        <w:rPr>
          <w:color w:val="44546A" w:themeColor="text2"/>
        </w:rPr>
        <w:t>).</w:t>
      </w:r>
    </w:p>
    <w:p w14:paraId="2D253F2B" w14:textId="2F56D607" w:rsidR="00687582" w:rsidRPr="008F0D85" w:rsidRDefault="00687582" w:rsidP="00E2717B">
      <w:pPr>
        <w:tabs>
          <w:tab w:val="left" w:pos="4820"/>
        </w:tabs>
        <w:jc w:val="both"/>
        <w:rPr>
          <w:color w:val="44546A" w:themeColor="text2"/>
        </w:rPr>
      </w:pPr>
      <w:r w:rsidRPr="008F0D85">
        <w:rPr>
          <w:b/>
          <w:bCs/>
          <w:color w:val="44546A" w:themeColor="text2"/>
        </w:rPr>
        <w:t>GH</w:t>
      </w:r>
      <w:r w:rsidR="00BB3352" w:rsidRPr="008F0D85">
        <w:rPr>
          <w:b/>
          <w:bCs/>
          <w:color w:val="44546A" w:themeColor="text2"/>
        </w:rPr>
        <w:t>G</w:t>
      </w:r>
      <w:r w:rsidRPr="008F0D85">
        <w:rPr>
          <w:b/>
          <w:bCs/>
          <w:color w:val="44546A" w:themeColor="text2"/>
        </w:rPr>
        <w:t xml:space="preserve"> Protocol </w:t>
      </w:r>
      <w:r w:rsidRPr="008F0D85">
        <w:rPr>
          <w:color w:val="44546A" w:themeColor="text2"/>
        </w:rPr>
        <w:t>- Greenhouse Gas Protocol Corporate Value Chain (Scope 3) Accounting and Reporting Standard Supplement to the GHG Protocol Corporate Accounting and Reporting Standard, Copyright of World Resources Institute and World Business Council for Sustainable AA 2021 Scope 3 Methodology Summary Report Development</w:t>
      </w:r>
      <w:r w:rsidR="00A8272E">
        <w:rPr>
          <w:color w:val="44546A" w:themeColor="text2"/>
        </w:rPr>
        <w:t>.</w:t>
      </w:r>
    </w:p>
    <w:p w14:paraId="03AD8435" w14:textId="404BADBD" w:rsidR="0000359D" w:rsidRPr="008F0D85" w:rsidRDefault="00AA25D6" w:rsidP="0000359D">
      <w:pPr>
        <w:tabs>
          <w:tab w:val="left" w:pos="4820"/>
        </w:tabs>
        <w:jc w:val="both"/>
        <w:rPr>
          <w:color w:val="44546A" w:themeColor="text2"/>
        </w:rPr>
      </w:pPr>
      <w:r w:rsidRPr="008F0D85">
        <w:rPr>
          <w:b/>
          <w:bCs/>
          <w:color w:val="44546A" w:themeColor="text2"/>
        </w:rPr>
        <w:t>Global Reporting Initiative</w:t>
      </w:r>
      <w:r w:rsidR="0000359D" w:rsidRPr="008F0D85">
        <w:rPr>
          <w:b/>
          <w:bCs/>
          <w:color w:val="44546A" w:themeColor="text2"/>
        </w:rPr>
        <w:t xml:space="preserve"> - </w:t>
      </w:r>
      <w:r w:rsidR="0000359D" w:rsidRPr="008F0D85">
        <w:rPr>
          <w:color w:val="44546A" w:themeColor="text2"/>
        </w:rPr>
        <w:t>a non-profit organi</w:t>
      </w:r>
      <w:r w:rsidR="008827A9">
        <w:rPr>
          <w:color w:val="44546A" w:themeColor="text2"/>
        </w:rPr>
        <w:t>s</w:t>
      </w:r>
      <w:r w:rsidR="0000359D" w:rsidRPr="008F0D85">
        <w:rPr>
          <w:color w:val="44546A" w:themeColor="text2"/>
        </w:rPr>
        <w:t>ation that promotes sustainability reporting standards and provides a framework for organi</w:t>
      </w:r>
      <w:r w:rsidR="008827A9">
        <w:rPr>
          <w:color w:val="44546A" w:themeColor="text2"/>
        </w:rPr>
        <w:t>s</w:t>
      </w:r>
      <w:r w:rsidR="0000359D" w:rsidRPr="008F0D85">
        <w:rPr>
          <w:color w:val="44546A" w:themeColor="text2"/>
        </w:rPr>
        <w:t xml:space="preserve">ations to transparently communicate their economic, environmental, and social performance </w:t>
      </w:r>
      <w:r w:rsidR="00D56122" w:rsidRPr="008F0D85">
        <w:rPr>
          <w:color w:val="44546A" w:themeColor="text2"/>
        </w:rPr>
        <w:t>to</w:t>
      </w:r>
      <w:r w:rsidR="0000359D" w:rsidRPr="008F0D85">
        <w:rPr>
          <w:color w:val="44546A" w:themeColor="text2"/>
        </w:rPr>
        <w:t xml:space="preserve"> foster global sustainability. </w:t>
      </w:r>
    </w:p>
    <w:p w14:paraId="729CB970" w14:textId="108DE24E" w:rsidR="0035372F" w:rsidRPr="008F0D85" w:rsidRDefault="0035372F" w:rsidP="0035372F">
      <w:pPr>
        <w:tabs>
          <w:tab w:val="left" w:pos="4820"/>
        </w:tabs>
        <w:jc w:val="both"/>
        <w:rPr>
          <w:color w:val="44546A" w:themeColor="text2"/>
        </w:rPr>
      </w:pPr>
      <w:r w:rsidRPr="006C3C93">
        <w:rPr>
          <w:b/>
          <w:bCs/>
          <w:color w:val="44546A" w:themeColor="text2"/>
        </w:rPr>
        <w:lastRenderedPageBreak/>
        <w:t xml:space="preserve">Location-based Scope 2 </w:t>
      </w:r>
      <w:r w:rsidR="00A10F68">
        <w:rPr>
          <w:b/>
          <w:bCs/>
          <w:color w:val="44546A" w:themeColor="text2"/>
        </w:rPr>
        <w:t>E</w:t>
      </w:r>
      <w:r w:rsidRPr="006C3C93">
        <w:rPr>
          <w:b/>
          <w:bCs/>
          <w:color w:val="44546A" w:themeColor="text2"/>
        </w:rPr>
        <w:t>missions</w:t>
      </w:r>
      <w:r>
        <w:rPr>
          <w:rFonts w:ascii="Segoe UI" w:hAnsi="Segoe UI" w:cs="Segoe UI"/>
          <w:color w:val="0D0D0D"/>
          <w:shd w:val="clear" w:color="auto" w:fill="FFFFFF"/>
        </w:rPr>
        <w:t xml:space="preserve"> </w:t>
      </w:r>
      <w:r>
        <w:rPr>
          <w:color w:val="44546A" w:themeColor="text2"/>
        </w:rPr>
        <w:t xml:space="preserve">- </w:t>
      </w:r>
      <w:r w:rsidRPr="006C3C93">
        <w:rPr>
          <w:color w:val="44546A" w:themeColor="text2"/>
        </w:rPr>
        <w:t>indirect GHG emissions associated with the generation of purchased or acquired electricity, steam, heat, or cooling consumed by an organi</w:t>
      </w:r>
      <w:r>
        <w:rPr>
          <w:color w:val="44546A" w:themeColor="text2"/>
        </w:rPr>
        <w:t>s</w:t>
      </w:r>
      <w:r w:rsidRPr="006C3C93">
        <w:rPr>
          <w:color w:val="44546A" w:themeColor="text2"/>
        </w:rPr>
        <w:t>ation's operations at a specific location. These emissions occur off-site at the location where the energy is generated but are attributed to the organi</w:t>
      </w:r>
      <w:r>
        <w:rPr>
          <w:color w:val="44546A" w:themeColor="text2"/>
        </w:rPr>
        <w:t>s</w:t>
      </w:r>
      <w:r w:rsidRPr="006C3C93">
        <w:rPr>
          <w:color w:val="44546A" w:themeColor="text2"/>
        </w:rPr>
        <w:t>ation based on its consumption.</w:t>
      </w:r>
    </w:p>
    <w:p w14:paraId="4EF1B80D" w14:textId="2692ECB9" w:rsidR="0035372F" w:rsidRPr="008F0D85" w:rsidRDefault="0035372F" w:rsidP="0035372F">
      <w:pPr>
        <w:tabs>
          <w:tab w:val="left" w:pos="4820"/>
        </w:tabs>
        <w:jc w:val="both"/>
        <w:rPr>
          <w:color w:val="44546A" w:themeColor="text2"/>
        </w:rPr>
      </w:pPr>
      <w:r w:rsidRPr="008F0D85">
        <w:rPr>
          <w:b/>
          <w:bCs/>
          <w:color w:val="44546A" w:themeColor="text2"/>
        </w:rPr>
        <w:t xml:space="preserve">Scope 1 </w:t>
      </w:r>
      <w:r w:rsidR="00A10F68">
        <w:rPr>
          <w:b/>
          <w:bCs/>
          <w:color w:val="44546A" w:themeColor="text2"/>
        </w:rPr>
        <w:t>E</w:t>
      </w:r>
      <w:r w:rsidRPr="008F0D85">
        <w:rPr>
          <w:b/>
          <w:bCs/>
          <w:color w:val="44546A" w:themeColor="text2"/>
        </w:rPr>
        <w:t>missions</w:t>
      </w:r>
      <w:r w:rsidRPr="008F0D85">
        <w:rPr>
          <w:color w:val="44546A" w:themeColor="text2"/>
        </w:rPr>
        <w:t xml:space="preserve"> - encompasses direct greenhouse gas emissions originating from CAML</w:t>
      </w:r>
      <w:r>
        <w:rPr>
          <w:color w:val="44546A" w:themeColor="text2"/>
        </w:rPr>
        <w:t>’s</w:t>
      </w:r>
      <w:r w:rsidRPr="008F0D85">
        <w:rPr>
          <w:color w:val="44546A" w:themeColor="text2"/>
        </w:rPr>
        <w:t xml:space="preserve"> own activities or sources under its control. Managing these emissions is essential for organisations committed to reducing their environmental footprint and promoting sustainability.</w:t>
      </w:r>
    </w:p>
    <w:p w14:paraId="2A2EAA8F" w14:textId="51D9AC30" w:rsidR="0035372F" w:rsidRDefault="0035372F" w:rsidP="0035372F">
      <w:pPr>
        <w:tabs>
          <w:tab w:val="left" w:pos="4820"/>
        </w:tabs>
        <w:jc w:val="both"/>
        <w:rPr>
          <w:color w:val="44546A" w:themeColor="text2"/>
        </w:rPr>
      </w:pPr>
      <w:r w:rsidRPr="008F0D85">
        <w:rPr>
          <w:b/>
          <w:bCs/>
          <w:color w:val="44546A" w:themeColor="text2"/>
        </w:rPr>
        <w:t xml:space="preserve">Scope 2 </w:t>
      </w:r>
      <w:r w:rsidR="00A10F68">
        <w:rPr>
          <w:b/>
          <w:bCs/>
          <w:color w:val="44546A" w:themeColor="text2"/>
        </w:rPr>
        <w:t>E</w:t>
      </w:r>
      <w:r w:rsidRPr="008F0D85">
        <w:rPr>
          <w:b/>
          <w:bCs/>
          <w:color w:val="44546A" w:themeColor="text2"/>
        </w:rPr>
        <w:t>missions</w:t>
      </w:r>
      <w:r w:rsidRPr="008F0D85">
        <w:rPr>
          <w:color w:val="44546A" w:themeColor="text2"/>
        </w:rPr>
        <w:t xml:space="preserve"> - Indirect greenhouse gas emissions stemming from purchased energy sources, such as electricity and heat. Understanding and effectively managing Scope 2 emissions is crucial for organisations seeking to minimi</w:t>
      </w:r>
      <w:r>
        <w:rPr>
          <w:color w:val="44546A" w:themeColor="text2"/>
        </w:rPr>
        <w:t>s</w:t>
      </w:r>
      <w:r w:rsidRPr="008F0D85">
        <w:rPr>
          <w:color w:val="44546A" w:themeColor="text2"/>
        </w:rPr>
        <w:t>e their environmental impact and enhance overall sustainability efforts.</w:t>
      </w:r>
    </w:p>
    <w:p w14:paraId="0CD1FBC5" w14:textId="77777777" w:rsidR="001C61C1" w:rsidRPr="008F0D85" w:rsidRDefault="001C61C1" w:rsidP="001C61C1">
      <w:pPr>
        <w:tabs>
          <w:tab w:val="left" w:pos="4820"/>
        </w:tabs>
        <w:jc w:val="both"/>
        <w:rPr>
          <w:color w:val="44546A" w:themeColor="text2"/>
        </w:rPr>
      </w:pPr>
      <w:r w:rsidRPr="008F0D85">
        <w:rPr>
          <w:b/>
          <w:bCs/>
          <w:color w:val="44546A" w:themeColor="text2"/>
        </w:rPr>
        <w:t xml:space="preserve">Scope </w:t>
      </w:r>
      <w:r>
        <w:rPr>
          <w:b/>
          <w:bCs/>
          <w:color w:val="44546A" w:themeColor="text2"/>
        </w:rPr>
        <w:t>3</w:t>
      </w:r>
      <w:r w:rsidRPr="008F0D85">
        <w:rPr>
          <w:b/>
          <w:bCs/>
          <w:color w:val="44546A" w:themeColor="text2"/>
        </w:rPr>
        <w:t xml:space="preserve"> </w:t>
      </w:r>
      <w:r>
        <w:rPr>
          <w:b/>
          <w:bCs/>
          <w:color w:val="44546A" w:themeColor="text2"/>
        </w:rPr>
        <w:t>E</w:t>
      </w:r>
      <w:r w:rsidRPr="008F0D85">
        <w:rPr>
          <w:b/>
          <w:bCs/>
          <w:color w:val="44546A" w:themeColor="text2"/>
        </w:rPr>
        <w:t>missions</w:t>
      </w:r>
      <w:r w:rsidRPr="008F0D85">
        <w:rPr>
          <w:color w:val="44546A" w:themeColor="text2"/>
        </w:rPr>
        <w:t xml:space="preserve"> - Indirect GHG emissions that occur in the value chain of a company but are not directly owned or controlled by that company. These encompass all indirect emissions associated with its operations in its upstream and downstream activities. </w:t>
      </w:r>
    </w:p>
    <w:p w14:paraId="521018EF" w14:textId="77777777" w:rsidR="0035372F" w:rsidRPr="008F0D85" w:rsidRDefault="0035372F" w:rsidP="0035372F">
      <w:pPr>
        <w:tabs>
          <w:tab w:val="left" w:pos="4820"/>
        </w:tabs>
        <w:jc w:val="both"/>
        <w:rPr>
          <w:b/>
          <w:bCs/>
          <w:color w:val="44546A" w:themeColor="text2"/>
        </w:rPr>
      </w:pPr>
      <w:r w:rsidRPr="008F0D85">
        <w:rPr>
          <w:b/>
          <w:bCs/>
          <w:color w:val="44546A" w:themeColor="text2"/>
        </w:rPr>
        <w:t xml:space="preserve">Stationary Combustion </w:t>
      </w:r>
      <w:r w:rsidRPr="008F0D85">
        <w:rPr>
          <w:color w:val="44546A" w:themeColor="text2"/>
        </w:rPr>
        <w:t>- the process of burning fuels, typically in industrial facilities or power plants, where the combustion source remains fixed in one location rather than being mobile.</w:t>
      </w:r>
    </w:p>
    <w:p w14:paraId="0E25B1D5" w14:textId="3A820002" w:rsidR="0035372F" w:rsidRDefault="0035372F" w:rsidP="0035372F">
      <w:pPr>
        <w:tabs>
          <w:tab w:val="left" w:pos="4820"/>
        </w:tabs>
        <w:jc w:val="both"/>
        <w:rPr>
          <w:b/>
          <w:bCs/>
          <w:color w:val="44546A" w:themeColor="text2"/>
        </w:rPr>
      </w:pPr>
      <w:r w:rsidRPr="008F0D85">
        <w:rPr>
          <w:b/>
          <w:bCs/>
          <w:color w:val="44546A" w:themeColor="text2"/>
        </w:rPr>
        <w:t xml:space="preserve">Upstream </w:t>
      </w:r>
      <w:r w:rsidR="00A10F68">
        <w:rPr>
          <w:b/>
          <w:bCs/>
          <w:color w:val="44546A" w:themeColor="text2"/>
        </w:rPr>
        <w:t>E</w:t>
      </w:r>
      <w:r w:rsidRPr="008F0D85">
        <w:rPr>
          <w:b/>
          <w:bCs/>
          <w:color w:val="44546A" w:themeColor="text2"/>
        </w:rPr>
        <w:t>missions</w:t>
      </w:r>
      <w:r w:rsidRPr="008F0D85">
        <w:rPr>
          <w:color w:val="44546A" w:themeColor="text2"/>
        </w:rPr>
        <w:t xml:space="preserve"> - greenhouse gas emissions associated with the extraction, production, and transportation of raw materials or fuels before they reach the point of use or consumption in a specific process or product.</w:t>
      </w:r>
    </w:p>
    <w:p w14:paraId="0F20A843" w14:textId="77777777" w:rsidR="00B176BF" w:rsidRPr="008F0D85" w:rsidRDefault="00B176BF" w:rsidP="00E325F9">
      <w:pPr>
        <w:jc w:val="both"/>
        <w:rPr>
          <w:b/>
          <w:bCs/>
          <w:color w:val="44546A" w:themeColor="text2"/>
          <w:u w:val="single"/>
        </w:rPr>
      </w:pPr>
    </w:p>
    <w:p w14:paraId="27902FF2" w14:textId="77777777" w:rsidR="00B176BF" w:rsidRPr="008F0D85" w:rsidRDefault="00B176BF" w:rsidP="00E325F9">
      <w:pPr>
        <w:jc w:val="both"/>
        <w:rPr>
          <w:b/>
          <w:bCs/>
          <w:color w:val="44546A" w:themeColor="text2"/>
          <w:u w:val="single"/>
        </w:rPr>
      </w:pPr>
    </w:p>
    <w:p w14:paraId="529F0155" w14:textId="77777777" w:rsidR="00B176BF" w:rsidRPr="008F0D85" w:rsidRDefault="00B176BF" w:rsidP="00E325F9">
      <w:pPr>
        <w:jc w:val="both"/>
        <w:rPr>
          <w:b/>
          <w:bCs/>
          <w:color w:val="44546A" w:themeColor="text2"/>
          <w:u w:val="single"/>
        </w:rPr>
      </w:pPr>
    </w:p>
    <w:p w14:paraId="0A92F33B" w14:textId="77777777" w:rsidR="00B176BF" w:rsidRPr="008F0D85" w:rsidRDefault="00B176BF" w:rsidP="00E325F9">
      <w:pPr>
        <w:jc w:val="both"/>
        <w:rPr>
          <w:b/>
          <w:bCs/>
          <w:color w:val="44546A" w:themeColor="text2"/>
          <w:u w:val="single"/>
        </w:rPr>
      </w:pPr>
    </w:p>
    <w:p w14:paraId="068C273E" w14:textId="77777777" w:rsidR="00B176BF" w:rsidRPr="008F0D85" w:rsidRDefault="00B176BF" w:rsidP="00E325F9">
      <w:pPr>
        <w:jc w:val="both"/>
        <w:rPr>
          <w:b/>
          <w:bCs/>
          <w:color w:val="44546A" w:themeColor="text2"/>
          <w:u w:val="single"/>
        </w:rPr>
      </w:pPr>
    </w:p>
    <w:p w14:paraId="05E369C7" w14:textId="77777777" w:rsidR="00B176BF" w:rsidRPr="008F0D85" w:rsidRDefault="00B176BF" w:rsidP="00E325F9">
      <w:pPr>
        <w:jc w:val="both"/>
        <w:rPr>
          <w:b/>
          <w:bCs/>
          <w:color w:val="44546A" w:themeColor="text2"/>
          <w:u w:val="single"/>
        </w:rPr>
      </w:pPr>
    </w:p>
    <w:p w14:paraId="2A5ADC78" w14:textId="77777777" w:rsidR="00B176BF" w:rsidRPr="008F0D85" w:rsidRDefault="00B176BF" w:rsidP="00E325F9">
      <w:pPr>
        <w:jc w:val="both"/>
        <w:rPr>
          <w:b/>
          <w:bCs/>
          <w:color w:val="44546A" w:themeColor="text2"/>
          <w:u w:val="single"/>
        </w:rPr>
      </w:pPr>
    </w:p>
    <w:p w14:paraId="6ED37B8E" w14:textId="77777777" w:rsidR="00B176BF" w:rsidRPr="008F0D85" w:rsidRDefault="00B176BF" w:rsidP="00E325F9">
      <w:pPr>
        <w:jc w:val="both"/>
        <w:rPr>
          <w:b/>
          <w:bCs/>
          <w:color w:val="44546A" w:themeColor="text2"/>
          <w:u w:val="single"/>
        </w:rPr>
      </w:pPr>
    </w:p>
    <w:p w14:paraId="0CB94D14" w14:textId="77777777" w:rsidR="00B176BF" w:rsidRPr="008F0D85" w:rsidRDefault="00B176BF" w:rsidP="00E325F9">
      <w:pPr>
        <w:jc w:val="both"/>
        <w:rPr>
          <w:b/>
          <w:bCs/>
          <w:color w:val="44546A" w:themeColor="text2"/>
          <w:u w:val="single"/>
        </w:rPr>
      </w:pPr>
    </w:p>
    <w:p w14:paraId="7E1AAB91" w14:textId="77777777" w:rsidR="00B176BF" w:rsidRPr="008F0D85" w:rsidRDefault="00B176BF" w:rsidP="00E325F9">
      <w:pPr>
        <w:jc w:val="both"/>
        <w:rPr>
          <w:b/>
          <w:bCs/>
          <w:color w:val="44546A" w:themeColor="text2"/>
          <w:u w:val="single"/>
        </w:rPr>
      </w:pPr>
    </w:p>
    <w:p w14:paraId="0E8BAD6D" w14:textId="77777777" w:rsidR="00B176BF" w:rsidRPr="008F0D85" w:rsidRDefault="00B176BF" w:rsidP="00E325F9">
      <w:pPr>
        <w:jc w:val="both"/>
        <w:rPr>
          <w:b/>
          <w:bCs/>
          <w:color w:val="44546A" w:themeColor="text2"/>
          <w:u w:val="single"/>
        </w:rPr>
      </w:pPr>
    </w:p>
    <w:p w14:paraId="031FC91B" w14:textId="77777777" w:rsidR="00B176BF" w:rsidRPr="008F0D85" w:rsidRDefault="00B176BF" w:rsidP="00E325F9">
      <w:pPr>
        <w:jc w:val="both"/>
        <w:rPr>
          <w:b/>
          <w:bCs/>
          <w:color w:val="44546A" w:themeColor="text2"/>
          <w:u w:val="single"/>
        </w:rPr>
      </w:pPr>
    </w:p>
    <w:p w14:paraId="1171935E" w14:textId="77777777" w:rsidR="00B176BF" w:rsidRPr="008F0D85" w:rsidRDefault="00B176BF" w:rsidP="00E325F9">
      <w:pPr>
        <w:jc w:val="both"/>
        <w:rPr>
          <w:b/>
          <w:bCs/>
          <w:color w:val="44546A" w:themeColor="text2"/>
          <w:u w:val="single"/>
        </w:rPr>
      </w:pPr>
    </w:p>
    <w:p w14:paraId="37BBCA5D" w14:textId="77777777" w:rsidR="00B176BF" w:rsidRPr="008F0D85" w:rsidRDefault="00B176BF" w:rsidP="00E325F9">
      <w:pPr>
        <w:jc w:val="both"/>
        <w:rPr>
          <w:b/>
          <w:bCs/>
          <w:color w:val="44546A" w:themeColor="text2"/>
          <w:u w:val="single"/>
        </w:rPr>
      </w:pPr>
    </w:p>
    <w:p w14:paraId="50869DA4" w14:textId="3BD3F998" w:rsidR="00D62CA3" w:rsidRPr="008F0D85" w:rsidRDefault="003A778D" w:rsidP="00942988">
      <w:pPr>
        <w:pStyle w:val="Heading1"/>
      </w:pPr>
      <w:bookmarkStart w:id="36" w:name="_Toc194670386"/>
      <w:r w:rsidRPr="008F0D85">
        <w:lastRenderedPageBreak/>
        <w:t xml:space="preserve">Appendix 2 - </w:t>
      </w:r>
      <w:r w:rsidR="00AA25D6" w:rsidRPr="008F0D85">
        <w:t xml:space="preserve">Units of </w:t>
      </w:r>
      <w:r w:rsidR="002A3C3F">
        <w:t>m</w:t>
      </w:r>
      <w:r w:rsidR="00AA25D6" w:rsidRPr="008F0D85">
        <w:t>easurement</w:t>
      </w:r>
      <w:bookmarkEnd w:id="36"/>
    </w:p>
    <w:p w14:paraId="1590754E" w14:textId="77777777" w:rsidR="00942988" w:rsidRDefault="00942988" w:rsidP="0030530B">
      <w:pPr>
        <w:tabs>
          <w:tab w:val="left" w:pos="4820"/>
        </w:tabs>
        <w:jc w:val="both"/>
        <w:rPr>
          <w:b/>
          <w:bCs/>
          <w:color w:val="44546A" w:themeColor="text2"/>
        </w:rPr>
      </w:pPr>
    </w:p>
    <w:p w14:paraId="5894D08B" w14:textId="298CB1DF" w:rsidR="00E41266" w:rsidRPr="008F0D85" w:rsidRDefault="00AA25D6" w:rsidP="0030530B">
      <w:pPr>
        <w:tabs>
          <w:tab w:val="left" w:pos="4820"/>
        </w:tabs>
        <w:jc w:val="both"/>
        <w:rPr>
          <w:color w:val="44546A" w:themeColor="text2"/>
        </w:rPr>
      </w:pPr>
      <w:r w:rsidRPr="008F0D85">
        <w:rPr>
          <w:b/>
          <w:bCs/>
          <w:color w:val="44546A" w:themeColor="text2"/>
        </w:rPr>
        <w:t>GJ</w:t>
      </w:r>
      <w:r w:rsidR="008626DA" w:rsidRPr="008F0D85">
        <w:rPr>
          <w:b/>
          <w:bCs/>
          <w:color w:val="44546A" w:themeColor="text2"/>
        </w:rPr>
        <w:t xml:space="preserve"> </w:t>
      </w:r>
      <w:r w:rsidR="008626DA" w:rsidRPr="008F0D85">
        <w:rPr>
          <w:color w:val="44546A" w:themeColor="text2"/>
        </w:rPr>
        <w:t>- Gigajoule</w:t>
      </w:r>
    </w:p>
    <w:p w14:paraId="51E6E9A4" w14:textId="2E5A114B" w:rsidR="00E41266" w:rsidRPr="008F0D85" w:rsidRDefault="00AA25D6" w:rsidP="0030530B">
      <w:pPr>
        <w:tabs>
          <w:tab w:val="left" w:pos="4820"/>
        </w:tabs>
        <w:jc w:val="both"/>
        <w:rPr>
          <w:color w:val="44546A" w:themeColor="text2"/>
        </w:rPr>
      </w:pPr>
      <w:r w:rsidRPr="008F0D85">
        <w:rPr>
          <w:b/>
          <w:bCs/>
          <w:color w:val="44546A" w:themeColor="text2"/>
        </w:rPr>
        <w:t>kW</w:t>
      </w:r>
      <w:r w:rsidR="00E41266" w:rsidRPr="008F0D85">
        <w:rPr>
          <w:b/>
          <w:bCs/>
          <w:color w:val="44546A" w:themeColor="text2"/>
        </w:rPr>
        <w:t>h</w:t>
      </w:r>
      <w:r w:rsidR="008626DA" w:rsidRPr="008F0D85">
        <w:rPr>
          <w:b/>
          <w:bCs/>
          <w:color w:val="44546A" w:themeColor="text2"/>
        </w:rPr>
        <w:t xml:space="preserve"> </w:t>
      </w:r>
      <w:r w:rsidR="008626DA" w:rsidRPr="008F0D85">
        <w:rPr>
          <w:color w:val="44546A" w:themeColor="text2"/>
        </w:rPr>
        <w:t xml:space="preserve">– </w:t>
      </w:r>
      <w:r w:rsidR="003A778D" w:rsidRPr="008F0D85">
        <w:rPr>
          <w:color w:val="44546A" w:themeColor="text2"/>
        </w:rPr>
        <w:t>Kilowatt</w:t>
      </w:r>
      <w:r w:rsidR="008626DA" w:rsidRPr="008F0D85">
        <w:rPr>
          <w:color w:val="44546A" w:themeColor="text2"/>
        </w:rPr>
        <w:t xml:space="preserve"> per hour</w:t>
      </w:r>
    </w:p>
    <w:p w14:paraId="1FEF8151" w14:textId="6078F546" w:rsidR="00E41266" w:rsidRPr="008F0D85" w:rsidRDefault="00AA25D6" w:rsidP="0030530B">
      <w:pPr>
        <w:tabs>
          <w:tab w:val="left" w:pos="4820"/>
        </w:tabs>
        <w:jc w:val="both"/>
        <w:rPr>
          <w:color w:val="44546A" w:themeColor="text2"/>
        </w:rPr>
      </w:pPr>
      <w:r w:rsidRPr="008F0D85">
        <w:rPr>
          <w:b/>
          <w:bCs/>
          <w:color w:val="44546A" w:themeColor="text2"/>
        </w:rPr>
        <w:t>kg</w:t>
      </w:r>
      <w:r w:rsidRPr="008F0D85">
        <w:rPr>
          <w:color w:val="44546A" w:themeColor="text2"/>
        </w:rPr>
        <w:t xml:space="preserve"> </w:t>
      </w:r>
      <w:r w:rsidR="008626DA" w:rsidRPr="008F0D85">
        <w:rPr>
          <w:color w:val="44546A" w:themeColor="text2"/>
        </w:rPr>
        <w:t xml:space="preserve">- </w:t>
      </w:r>
      <w:r w:rsidR="00B91FB0" w:rsidRPr="008F0D85">
        <w:rPr>
          <w:color w:val="44546A" w:themeColor="text2"/>
        </w:rPr>
        <w:t>K</w:t>
      </w:r>
      <w:r w:rsidR="008626DA" w:rsidRPr="008F0D85">
        <w:rPr>
          <w:color w:val="44546A" w:themeColor="text2"/>
        </w:rPr>
        <w:t>ilogram</w:t>
      </w:r>
      <w:r w:rsidR="0058211B">
        <w:rPr>
          <w:color w:val="44546A" w:themeColor="text2"/>
        </w:rPr>
        <w:t>me</w:t>
      </w:r>
      <w:r w:rsidR="008626DA" w:rsidRPr="008F0D85">
        <w:rPr>
          <w:color w:val="44546A" w:themeColor="text2"/>
        </w:rPr>
        <w:t>s</w:t>
      </w:r>
    </w:p>
    <w:p w14:paraId="4ACECDB9" w14:textId="0CBEEF59" w:rsidR="00E41266" w:rsidRPr="008F0D85" w:rsidRDefault="00AA25D6" w:rsidP="0030530B">
      <w:pPr>
        <w:tabs>
          <w:tab w:val="left" w:pos="4820"/>
        </w:tabs>
        <w:jc w:val="both"/>
        <w:rPr>
          <w:color w:val="44546A" w:themeColor="text2"/>
        </w:rPr>
      </w:pPr>
      <w:r w:rsidRPr="008F0D85">
        <w:rPr>
          <w:b/>
          <w:bCs/>
          <w:color w:val="44546A" w:themeColor="text2"/>
        </w:rPr>
        <w:t>CO</w:t>
      </w:r>
      <w:r w:rsidRPr="008F0D85">
        <w:rPr>
          <w:b/>
          <w:bCs/>
          <w:color w:val="44546A" w:themeColor="text2"/>
          <w:vertAlign w:val="subscript"/>
        </w:rPr>
        <w:t>2</w:t>
      </w:r>
      <w:r w:rsidRPr="008F0D85">
        <w:rPr>
          <w:b/>
          <w:bCs/>
          <w:color w:val="44546A" w:themeColor="text2"/>
        </w:rPr>
        <w:t>e</w:t>
      </w:r>
      <w:r w:rsidR="008626DA" w:rsidRPr="008F0D85">
        <w:rPr>
          <w:color w:val="44546A" w:themeColor="text2"/>
        </w:rPr>
        <w:t xml:space="preserve"> </w:t>
      </w:r>
      <w:r w:rsidR="0030530B" w:rsidRPr="008F0D85">
        <w:rPr>
          <w:color w:val="44546A" w:themeColor="text2"/>
        </w:rPr>
        <w:t xml:space="preserve">– Carbon </w:t>
      </w:r>
      <w:r w:rsidR="00B56F5A" w:rsidRPr="008F0D85">
        <w:rPr>
          <w:color w:val="44546A" w:themeColor="text2"/>
        </w:rPr>
        <w:t xml:space="preserve">dioxide equivalent </w:t>
      </w:r>
    </w:p>
    <w:p w14:paraId="2EF07A9D" w14:textId="1F2D2F35" w:rsidR="00E41266" w:rsidRPr="008F0D85" w:rsidRDefault="00AA25D6" w:rsidP="0030530B">
      <w:pPr>
        <w:tabs>
          <w:tab w:val="left" w:pos="4820"/>
        </w:tabs>
        <w:jc w:val="both"/>
        <w:rPr>
          <w:color w:val="44546A" w:themeColor="text2"/>
        </w:rPr>
      </w:pPr>
      <w:r w:rsidRPr="008F0D85">
        <w:rPr>
          <w:b/>
          <w:bCs/>
          <w:color w:val="44546A" w:themeColor="text2"/>
        </w:rPr>
        <w:t>tCO</w:t>
      </w:r>
      <w:r w:rsidRPr="008F0D85">
        <w:rPr>
          <w:b/>
          <w:bCs/>
          <w:color w:val="44546A" w:themeColor="text2"/>
          <w:vertAlign w:val="subscript"/>
        </w:rPr>
        <w:t>2</w:t>
      </w:r>
      <w:r w:rsidRPr="008F0D85">
        <w:rPr>
          <w:b/>
          <w:bCs/>
          <w:color w:val="44546A" w:themeColor="text2"/>
        </w:rPr>
        <w:t>e</w:t>
      </w:r>
      <w:r w:rsidR="0030530B" w:rsidRPr="008F0D85">
        <w:rPr>
          <w:color w:val="44546A" w:themeColor="text2"/>
        </w:rPr>
        <w:t xml:space="preserve"> - </w:t>
      </w:r>
      <w:r w:rsidR="00B91FB0" w:rsidRPr="008F0D85">
        <w:rPr>
          <w:color w:val="44546A" w:themeColor="text2"/>
        </w:rPr>
        <w:t>M</w:t>
      </w:r>
      <w:r w:rsidR="0030530B" w:rsidRPr="008F0D85">
        <w:rPr>
          <w:color w:val="44546A" w:themeColor="text2"/>
        </w:rPr>
        <w:t>etric ton</w:t>
      </w:r>
      <w:r w:rsidR="0058211B">
        <w:rPr>
          <w:color w:val="44546A" w:themeColor="text2"/>
        </w:rPr>
        <w:t>ne</w:t>
      </w:r>
      <w:r w:rsidR="0030530B" w:rsidRPr="008F0D85">
        <w:rPr>
          <w:color w:val="44546A" w:themeColor="text2"/>
        </w:rPr>
        <w:t>s of carbon dioxide equivalent</w:t>
      </w:r>
    </w:p>
    <w:p w14:paraId="170DE8FF" w14:textId="1CD1E62A" w:rsidR="00E41266" w:rsidRPr="008F0D85" w:rsidRDefault="00AA25D6" w:rsidP="0030530B">
      <w:pPr>
        <w:tabs>
          <w:tab w:val="left" w:pos="4820"/>
        </w:tabs>
        <w:jc w:val="both"/>
        <w:rPr>
          <w:color w:val="44546A" w:themeColor="text2"/>
        </w:rPr>
      </w:pPr>
      <w:proofErr w:type="spellStart"/>
      <w:r w:rsidRPr="008F0D85">
        <w:rPr>
          <w:b/>
          <w:bCs/>
          <w:color w:val="44546A" w:themeColor="text2"/>
        </w:rPr>
        <w:t>wmt</w:t>
      </w:r>
      <w:proofErr w:type="spellEnd"/>
      <w:r w:rsidR="0030530B" w:rsidRPr="008F0D85">
        <w:rPr>
          <w:color w:val="44546A" w:themeColor="text2"/>
        </w:rPr>
        <w:t xml:space="preserve"> – </w:t>
      </w:r>
      <w:r w:rsidR="00B91FB0" w:rsidRPr="008F0D85">
        <w:rPr>
          <w:color w:val="44546A" w:themeColor="text2"/>
        </w:rPr>
        <w:t>W</w:t>
      </w:r>
      <w:r w:rsidR="0030530B" w:rsidRPr="008F0D85">
        <w:rPr>
          <w:color w:val="44546A" w:themeColor="text2"/>
        </w:rPr>
        <w:t>et metric tonnes</w:t>
      </w:r>
    </w:p>
    <w:p w14:paraId="4A8B503A" w14:textId="3B779221" w:rsidR="00E41266" w:rsidRPr="00DA35A0" w:rsidRDefault="00AA25D6" w:rsidP="0030530B">
      <w:pPr>
        <w:tabs>
          <w:tab w:val="left" w:pos="4820"/>
        </w:tabs>
        <w:jc w:val="both"/>
        <w:rPr>
          <w:color w:val="44546A" w:themeColor="text2"/>
        </w:rPr>
      </w:pPr>
      <w:r w:rsidRPr="00DA35A0">
        <w:rPr>
          <w:b/>
          <w:color w:val="44546A" w:themeColor="text2"/>
        </w:rPr>
        <w:t>km</w:t>
      </w:r>
      <w:r w:rsidR="0030530B" w:rsidRPr="00DA35A0">
        <w:rPr>
          <w:color w:val="44546A" w:themeColor="text2"/>
        </w:rPr>
        <w:t xml:space="preserve"> - </w:t>
      </w:r>
      <w:r w:rsidR="00B91FB0" w:rsidRPr="00DA35A0">
        <w:rPr>
          <w:color w:val="44546A" w:themeColor="text2"/>
        </w:rPr>
        <w:t>K</w:t>
      </w:r>
      <w:r w:rsidR="0030530B" w:rsidRPr="00DA35A0">
        <w:rPr>
          <w:color w:val="44546A" w:themeColor="text2"/>
        </w:rPr>
        <w:t>ilometres</w:t>
      </w:r>
    </w:p>
    <w:p w14:paraId="6C5CE413" w14:textId="752DD0A8" w:rsidR="00D62CA3" w:rsidRPr="00DA35A0" w:rsidRDefault="0030530B" w:rsidP="0030530B">
      <w:pPr>
        <w:tabs>
          <w:tab w:val="left" w:pos="4820"/>
        </w:tabs>
        <w:jc w:val="both"/>
        <w:rPr>
          <w:color w:val="44546A" w:themeColor="text2"/>
        </w:rPr>
      </w:pPr>
      <w:r w:rsidRPr="00DA35A0">
        <w:rPr>
          <w:b/>
          <w:color w:val="44546A" w:themeColor="text2"/>
        </w:rPr>
        <w:t xml:space="preserve">t </w:t>
      </w:r>
      <w:r w:rsidRPr="00DA35A0">
        <w:rPr>
          <w:color w:val="44546A" w:themeColor="text2"/>
        </w:rPr>
        <w:t xml:space="preserve">– </w:t>
      </w:r>
      <w:r w:rsidR="00B91FB0" w:rsidRPr="00DA35A0">
        <w:rPr>
          <w:color w:val="44546A" w:themeColor="text2"/>
        </w:rPr>
        <w:t>T</w:t>
      </w:r>
      <w:r w:rsidR="00AA25D6" w:rsidRPr="00DA35A0">
        <w:rPr>
          <w:color w:val="44546A" w:themeColor="text2"/>
        </w:rPr>
        <w:t>onnes</w:t>
      </w:r>
    </w:p>
    <w:p w14:paraId="3A4A6E7D" w14:textId="77777777" w:rsidR="0030530B" w:rsidRPr="00DA35A0" w:rsidRDefault="0030530B" w:rsidP="0030530B">
      <w:pPr>
        <w:tabs>
          <w:tab w:val="left" w:pos="4820"/>
        </w:tabs>
        <w:jc w:val="both"/>
        <w:rPr>
          <w:color w:val="44546A" w:themeColor="text2"/>
        </w:rPr>
      </w:pPr>
    </w:p>
    <w:p w14:paraId="5BDC8202" w14:textId="77777777" w:rsidR="00641D27" w:rsidRPr="00DA35A0" w:rsidRDefault="00641D27" w:rsidP="0030530B">
      <w:pPr>
        <w:tabs>
          <w:tab w:val="left" w:pos="4820"/>
        </w:tabs>
        <w:jc w:val="both"/>
        <w:rPr>
          <w:color w:val="44546A" w:themeColor="text2"/>
        </w:rPr>
      </w:pPr>
    </w:p>
    <w:p w14:paraId="4CF708DB" w14:textId="77777777" w:rsidR="00641D27" w:rsidRPr="00DA35A0" w:rsidRDefault="00641D27" w:rsidP="0030530B">
      <w:pPr>
        <w:tabs>
          <w:tab w:val="left" w:pos="4820"/>
        </w:tabs>
        <w:jc w:val="both"/>
        <w:rPr>
          <w:color w:val="44546A" w:themeColor="text2"/>
        </w:rPr>
      </w:pPr>
    </w:p>
    <w:p w14:paraId="0973DBE9" w14:textId="77777777" w:rsidR="00641D27" w:rsidRPr="00DA35A0" w:rsidRDefault="00641D27" w:rsidP="0030530B">
      <w:pPr>
        <w:tabs>
          <w:tab w:val="left" w:pos="4820"/>
        </w:tabs>
        <w:jc w:val="both"/>
        <w:rPr>
          <w:color w:val="44546A" w:themeColor="text2"/>
        </w:rPr>
      </w:pPr>
    </w:p>
    <w:p w14:paraId="675AE5B7" w14:textId="77777777" w:rsidR="00641D27" w:rsidRPr="00DA35A0" w:rsidRDefault="00641D27" w:rsidP="0030530B">
      <w:pPr>
        <w:tabs>
          <w:tab w:val="left" w:pos="4820"/>
        </w:tabs>
        <w:jc w:val="both"/>
        <w:rPr>
          <w:color w:val="44546A" w:themeColor="text2"/>
        </w:rPr>
      </w:pPr>
    </w:p>
    <w:p w14:paraId="1270153A" w14:textId="41A16641" w:rsidR="00641D27" w:rsidRPr="00DA35A0" w:rsidRDefault="00641D27" w:rsidP="0030530B">
      <w:pPr>
        <w:tabs>
          <w:tab w:val="left" w:pos="4820"/>
        </w:tabs>
        <w:jc w:val="both"/>
        <w:rPr>
          <w:color w:val="44546A" w:themeColor="text2"/>
        </w:rPr>
      </w:pPr>
    </w:p>
    <w:p w14:paraId="05712451" w14:textId="77777777" w:rsidR="00641D27" w:rsidRPr="00DA35A0" w:rsidRDefault="00641D27" w:rsidP="0030530B">
      <w:pPr>
        <w:tabs>
          <w:tab w:val="left" w:pos="4820"/>
        </w:tabs>
        <w:jc w:val="both"/>
        <w:rPr>
          <w:color w:val="44546A" w:themeColor="text2"/>
        </w:rPr>
      </w:pPr>
    </w:p>
    <w:p w14:paraId="62BD176B" w14:textId="77777777" w:rsidR="00B176BF" w:rsidRPr="00DA35A0" w:rsidRDefault="00B176BF" w:rsidP="0030530B">
      <w:pPr>
        <w:jc w:val="both"/>
        <w:rPr>
          <w:rFonts w:cstheme="majorHAnsi"/>
          <w:b/>
          <w:color w:val="44546A" w:themeColor="text2"/>
          <w:u w:val="single"/>
        </w:rPr>
      </w:pPr>
    </w:p>
    <w:p w14:paraId="5B94EF2C" w14:textId="77777777" w:rsidR="00B176BF" w:rsidRPr="00DA35A0" w:rsidRDefault="00B176BF" w:rsidP="0030530B">
      <w:pPr>
        <w:jc w:val="both"/>
        <w:rPr>
          <w:rFonts w:cstheme="majorHAnsi"/>
          <w:b/>
          <w:color w:val="44546A" w:themeColor="text2"/>
          <w:u w:val="single"/>
        </w:rPr>
      </w:pPr>
    </w:p>
    <w:p w14:paraId="7D186484" w14:textId="77777777" w:rsidR="00B176BF" w:rsidRPr="00DA35A0" w:rsidRDefault="00B176BF" w:rsidP="0030530B">
      <w:pPr>
        <w:jc w:val="both"/>
        <w:rPr>
          <w:rFonts w:cstheme="majorHAnsi"/>
          <w:b/>
          <w:color w:val="44546A" w:themeColor="text2"/>
          <w:u w:val="single"/>
        </w:rPr>
      </w:pPr>
    </w:p>
    <w:p w14:paraId="110BA044" w14:textId="77777777" w:rsidR="00B176BF" w:rsidRPr="00DA35A0" w:rsidRDefault="00B176BF" w:rsidP="0030530B">
      <w:pPr>
        <w:jc w:val="both"/>
        <w:rPr>
          <w:rFonts w:cstheme="majorHAnsi"/>
          <w:b/>
          <w:color w:val="44546A" w:themeColor="text2"/>
          <w:u w:val="single"/>
        </w:rPr>
      </w:pPr>
    </w:p>
    <w:p w14:paraId="57DCB733" w14:textId="77777777" w:rsidR="00B176BF" w:rsidRPr="00DA35A0" w:rsidRDefault="00B176BF" w:rsidP="0030530B">
      <w:pPr>
        <w:jc w:val="both"/>
        <w:rPr>
          <w:rFonts w:cstheme="majorHAnsi"/>
          <w:b/>
          <w:color w:val="44546A" w:themeColor="text2"/>
          <w:u w:val="single"/>
        </w:rPr>
      </w:pPr>
    </w:p>
    <w:p w14:paraId="12AE5BDA" w14:textId="77777777" w:rsidR="00B176BF" w:rsidRPr="00DA35A0" w:rsidRDefault="00B176BF" w:rsidP="0030530B">
      <w:pPr>
        <w:jc w:val="both"/>
        <w:rPr>
          <w:rFonts w:cstheme="majorHAnsi"/>
          <w:b/>
          <w:color w:val="44546A" w:themeColor="text2"/>
          <w:u w:val="single"/>
        </w:rPr>
      </w:pPr>
    </w:p>
    <w:p w14:paraId="04ECF303" w14:textId="77777777" w:rsidR="00B176BF" w:rsidRPr="00DA35A0" w:rsidRDefault="00B176BF" w:rsidP="0030530B">
      <w:pPr>
        <w:jc w:val="both"/>
        <w:rPr>
          <w:rFonts w:cstheme="majorHAnsi"/>
          <w:b/>
          <w:color w:val="44546A" w:themeColor="text2"/>
          <w:u w:val="single"/>
        </w:rPr>
      </w:pPr>
    </w:p>
    <w:p w14:paraId="17CEFEE0" w14:textId="77777777" w:rsidR="00B176BF" w:rsidRPr="00DA35A0" w:rsidRDefault="00B176BF" w:rsidP="0030530B">
      <w:pPr>
        <w:jc w:val="both"/>
        <w:rPr>
          <w:rFonts w:cstheme="majorHAnsi"/>
          <w:b/>
          <w:color w:val="44546A" w:themeColor="text2"/>
          <w:u w:val="single"/>
        </w:rPr>
      </w:pPr>
    </w:p>
    <w:p w14:paraId="30CE6F3C" w14:textId="77777777" w:rsidR="00B176BF" w:rsidRPr="00DA35A0" w:rsidRDefault="00B176BF" w:rsidP="0030530B">
      <w:pPr>
        <w:jc w:val="both"/>
        <w:rPr>
          <w:rFonts w:cstheme="majorHAnsi"/>
          <w:b/>
          <w:color w:val="44546A" w:themeColor="text2"/>
          <w:u w:val="single"/>
        </w:rPr>
      </w:pPr>
    </w:p>
    <w:p w14:paraId="06B32ACC" w14:textId="77777777" w:rsidR="00B176BF" w:rsidRPr="00DA35A0" w:rsidRDefault="00B176BF" w:rsidP="0030530B">
      <w:pPr>
        <w:jc w:val="both"/>
        <w:rPr>
          <w:rFonts w:cstheme="majorHAnsi"/>
          <w:b/>
          <w:color w:val="44546A" w:themeColor="text2"/>
          <w:u w:val="single"/>
        </w:rPr>
      </w:pPr>
    </w:p>
    <w:p w14:paraId="75618D55" w14:textId="77777777" w:rsidR="00B176BF" w:rsidRPr="00DA35A0" w:rsidRDefault="00B176BF" w:rsidP="0030530B">
      <w:pPr>
        <w:jc w:val="both"/>
        <w:rPr>
          <w:rFonts w:cstheme="majorHAnsi"/>
          <w:b/>
          <w:color w:val="44546A" w:themeColor="text2"/>
          <w:u w:val="single"/>
        </w:rPr>
      </w:pPr>
    </w:p>
    <w:p w14:paraId="5875A6B8" w14:textId="77777777" w:rsidR="00B176BF" w:rsidRPr="00DA35A0" w:rsidRDefault="00B176BF" w:rsidP="0030530B">
      <w:pPr>
        <w:jc w:val="both"/>
        <w:rPr>
          <w:rFonts w:cstheme="majorHAnsi"/>
          <w:b/>
          <w:color w:val="44546A" w:themeColor="text2"/>
          <w:u w:val="single"/>
        </w:rPr>
      </w:pPr>
    </w:p>
    <w:p w14:paraId="29FFB8DC" w14:textId="77777777" w:rsidR="00B176BF" w:rsidRPr="00DA35A0" w:rsidRDefault="00B176BF" w:rsidP="0030530B">
      <w:pPr>
        <w:jc w:val="both"/>
        <w:rPr>
          <w:rFonts w:cstheme="majorHAnsi"/>
          <w:b/>
          <w:color w:val="44546A" w:themeColor="text2"/>
          <w:u w:val="single"/>
        </w:rPr>
      </w:pPr>
    </w:p>
    <w:p w14:paraId="77450911" w14:textId="7824D2B1" w:rsidR="004438F5" w:rsidRDefault="004438F5" w:rsidP="00B138FA">
      <w:pPr>
        <w:pStyle w:val="Heading1"/>
      </w:pPr>
    </w:p>
    <w:p w14:paraId="28C56351" w14:textId="77777777" w:rsidR="004438F5" w:rsidRDefault="004438F5" w:rsidP="00B138FA">
      <w:pPr>
        <w:pStyle w:val="Heading1"/>
        <w:sectPr w:rsidR="004438F5" w:rsidSect="009E2C0C">
          <w:footnotePr>
            <w:numRestart w:val="eachPage"/>
          </w:footnotePr>
          <w:pgSz w:w="11906" w:h="16838"/>
          <w:pgMar w:top="1440" w:right="1440" w:bottom="1440" w:left="1440" w:header="737" w:footer="708" w:gutter="0"/>
          <w:cols w:space="708"/>
          <w:docGrid w:linePitch="360"/>
        </w:sectPr>
      </w:pPr>
    </w:p>
    <w:p w14:paraId="6F6684E1" w14:textId="2F33EC3D" w:rsidR="00703450" w:rsidRDefault="00703450" w:rsidP="00DA35A0">
      <w:pPr>
        <w:pStyle w:val="Heading1"/>
        <w:rPr>
          <w:rFonts w:eastAsia="Times New Roman"/>
        </w:rPr>
      </w:pPr>
      <w:bookmarkStart w:id="37" w:name="_Appendix_3_–"/>
      <w:bookmarkStart w:id="38" w:name="_Toc194670387"/>
      <w:bookmarkEnd w:id="37"/>
      <w:r>
        <w:rPr>
          <w:rFonts w:eastAsia="Times New Roman"/>
        </w:rPr>
        <w:lastRenderedPageBreak/>
        <w:t xml:space="preserve">Appendix 3 </w:t>
      </w:r>
      <w:r w:rsidR="00F03B0B">
        <w:rPr>
          <w:rFonts w:eastAsia="Times New Roman"/>
        </w:rPr>
        <w:t xml:space="preserve">– The </w:t>
      </w:r>
      <w:r w:rsidR="00A33E50">
        <w:rPr>
          <w:rFonts w:eastAsia="Times New Roman"/>
        </w:rPr>
        <w:t>Scope 1 and 2 emission sources</w:t>
      </w:r>
      <w:bookmarkEnd w:id="38"/>
    </w:p>
    <w:p w14:paraId="0CD8F7F9" w14:textId="1262CAA1" w:rsidR="008E0714" w:rsidRPr="00DA35A0" w:rsidRDefault="00D74066" w:rsidP="00DA35A0">
      <w:pPr>
        <w:pStyle w:val="Heading2"/>
        <w:rPr>
          <w:rFonts w:eastAsia="Times New Roman"/>
          <w:b w:val="0"/>
        </w:rPr>
      </w:pPr>
      <w:bookmarkStart w:id="39" w:name="_Toc194670388"/>
      <w:r>
        <w:rPr>
          <w:rFonts w:eastAsia="Times New Roman"/>
        </w:rPr>
        <w:t xml:space="preserve">Table </w:t>
      </w:r>
      <w:r w:rsidR="008E0714">
        <w:rPr>
          <w:rFonts w:eastAsia="Times New Roman"/>
        </w:rPr>
        <w:t>3.1 – The Sources</w:t>
      </w:r>
      <w:r w:rsidR="00F7478D" w:rsidRPr="008F0D85">
        <w:rPr>
          <w:rFonts w:eastAsia="Times New Roman"/>
        </w:rPr>
        <w:t xml:space="preserve"> of CAML’s Scope 1 emissions</w:t>
      </w:r>
      <w:bookmarkEnd w:id="39"/>
    </w:p>
    <w:tbl>
      <w:tblPr>
        <w:tblW w:w="11630" w:type="dxa"/>
        <w:tblLook w:val="04A0" w:firstRow="1" w:lastRow="0" w:firstColumn="1" w:lastColumn="0" w:noHBand="0" w:noVBand="1"/>
      </w:tblPr>
      <w:tblGrid>
        <w:gridCol w:w="1368"/>
        <w:gridCol w:w="1234"/>
        <w:gridCol w:w="1234"/>
        <w:gridCol w:w="1234"/>
        <w:gridCol w:w="1078"/>
        <w:gridCol w:w="1078"/>
        <w:gridCol w:w="1078"/>
        <w:gridCol w:w="1234"/>
        <w:gridCol w:w="1234"/>
        <w:gridCol w:w="1234"/>
      </w:tblGrid>
      <w:tr w:rsidR="007D08BE" w:rsidRPr="000C0924" w14:paraId="1DA8DD77" w14:textId="77777777" w:rsidTr="00DA35A0">
        <w:trPr>
          <w:trHeight w:val="360"/>
        </w:trPr>
        <w:tc>
          <w:tcPr>
            <w:tcW w:w="0" w:type="auto"/>
            <w:tcBorders>
              <w:top w:val="single" w:sz="4" w:space="0" w:color="auto"/>
              <w:left w:val="single" w:sz="4" w:space="0" w:color="auto"/>
              <w:bottom w:val="single" w:sz="4" w:space="0" w:color="auto"/>
              <w:right w:val="single" w:sz="4" w:space="0" w:color="auto"/>
            </w:tcBorders>
            <w:shd w:val="clear" w:color="000000" w:fill="3E5C60"/>
            <w:vAlign w:val="center"/>
            <w:hideMark/>
          </w:tcPr>
          <w:p w14:paraId="678203B4" w14:textId="77777777" w:rsidR="00F7478D" w:rsidRPr="00DA35A0" w:rsidRDefault="00F7478D" w:rsidP="00801D97">
            <w:pPr>
              <w:spacing w:after="0" w:line="240" w:lineRule="auto"/>
              <w:jc w:val="both"/>
              <w:rPr>
                <w:rFonts w:eastAsia="Times New Roman" w:cs="Times New Roman"/>
                <w:color w:val="FFFFFF"/>
                <w:kern w:val="0"/>
                <w:lang w:eastAsia="en-GB"/>
                <w14:ligatures w14:val="none"/>
              </w:rPr>
            </w:pPr>
            <w:r w:rsidRPr="00DA35A0">
              <w:rPr>
                <w:rFonts w:eastAsia="Times New Roman" w:cs="Times New Roman"/>
                <w:color w:val="FFFFFF" w:themeColor="background1"/>
                <w:kern w:val="0"/>
                <w:lang w:eastAsia="en-GB"/>
                <w14:ligatures w14:val="none"/>
              </w:rPr>
              <w:t> </w:t>
            </w:r>
          </w:p>
        </w:tc>
        <w:tc>
          <w:tcPr>
            <w:tcW w:w="0" w:type="auto"/>
            <w:gridSpan w:val="3"/>
            <w:tcBorders>
              <w:top w:val="nil"/>
              <w:left w:val="nil"/>
              <w:bottom w:val="single" w:sz="4" w:space="0" w:color="auto"/>
              <w:right w:val="single" w:sz="4" w:space="0" w:color="000000"/>
            </w:tcBorders>
            <w:shd w:val="clear" w:color="000000" w:fill="3E5C60"/>
            <w:vAlign w:val="center"/>
            <w:hideMark/>
          </w:tcPr>
          <w:p w14:paraId="01D50D9A"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Kounrad</w:t>
            </w:r>
          </w:p>
        </w:tc>
        <w:tc>
          <w:tcPr>
            <w:tcW w:w="0" w:type="auto"/>
            <w:gridSpan w:val="3"/>
            <w:tcBorders>
              <w:top w:val="nil"/>
              <w:left w:val="nil"/>
              <w:bottom w:val="single" w:sz="4" w:space="0" w:color="auto"/>
              <w:right w:val="single" w:sz="4" w:space="0" w:color="000000"/>
            </w:tcBorders>
            <w:shd w:val="clear" w:color="000000" w:fill="3E5C60"/>
            <w:vAlign w:val="center"/>
            <w:hideMark/>
          </w:tcPr>
          <w:p w14:paraId="65776E10"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Sasa</w:t>
            </w:r>
          </w:p>
        </w:tc>
        <w:tc>
          <w:tcPr>
            <w:tcW w:w="0" w:type="auto"/>
            <w:gridSpan w:val="3"/>
            <w:tcBorders>
              <w:top w:val="nil"/>
              <w:left w:val="nil"/>
              <w:bottom w:val="single" w:sz="4" w:space="0" w:color="auto"/>
              <w:right w:val="single" w:sz="4" w:space="0" w:color="000000"/>
            </w:tcBorders>
            <w:shd w:val="clear" w:color="000000" w:fill="3E5C60"/>
            <w:vAlign w:val="center"/>
            <w:hideMark/>
          </w:tcPr>
          <w:p w14:paraId="31C64098"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Total</w:t>
            </w:r>
          </w:p>
        </w:tc>
      </w:tr>
      <w:tr w:rsidR="00E508B9" w:rsidRPr="000C0924" w14:paraId="7607DCD3" w14:textId="77777777" w:rsidTr="002D4D07">
        <w:trPr>
          <w:trHeight w:val="360"/>
        </w:trPr>
        <w:tc>
          <w:tcPr>
            <w:tcW w:w="0" w:type="auto"/>
            <w:tcBorders>
              <w:top w:val="nil"/>
              <w:left w:val="single" w:sz="4" w:space="0" w:color="auto"/>
              <w:bottom w:val="single" w:sz="4" w:space="0" w:color="auto"/>
              <w:right w:val="single" w:sz="4" w:space="0" w:color="auto"/>
            </w:tcBorders>
            <w:shd w:val="clear" w:color="000000" w:fill="3E5C60"/>
            <w:vAlign w:val="center"/>
            <w:hideMark/>
          </w:tcPr>
          <w:p w14:paraId="7244D453" w14:textId="77777777" w:rsidR="00F7478D" w:rsidRPr="00DA35A0" w:rsidRDefault="00F7478D" w:rsidP="00801D97">
            <w:pPr>
              <w:spacing w:after="0" w:line="240" w:lineRule="auto"/>
              <w:jc w:val="both"/>
              <w:rPr>
                <w:rFonts w:eastAsia="Times New Roman" w:cs="Times New Roman"/>
                <w:color w:val="FFFFFF"/>
                <w:kern w:val="0"/>
                <w:lang w:eastAsia="en-GB"/>
                <w14:ligatures w14:val="none"/>
              </w:rPr>
            </w:pPr>
            <w:r w:rsidRPr="00DA35A0">
              <w:rPr>
                <w:rFonts w:eastAsia="Times New Roman" w:cs="Times New Roman"/>
                <w:color w:val="FFFFFF" w:themeColor="background1"/>
                <w:kern w:val="0"/>
                <w:lang w:eastAsia="en-GB"/>
                <w14:ligatures w14:val="none"/>
              </w:rPr>
              <w:t> </w:t>
            </w:r>
          </w:p>
        </w:tc>
        <w:tc>
          <w:tcPr>
            <w:tcW w:w="0" w:type="auto"/>
            <w:tcBorders>
              <w:top w:val="nil"/>
              <w:left w:val="nil"/>
              <w:bottom w:val="single" w:sz="4" w:space="0" w:color="auto"/>
              <w:right w:val="single" w:sz="4" w:space="0" w:color="auto"/>
            </w:tcBorders>
            <w:shd w:val="clear" w:color="000000" w:fill="3E5C60"/>
            <w:vAlign w:val="center"/>
            <w:hideMark/>
          </w:tcPr>
          <w:p w14:paraId="559279E6"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kern w:val="0"/>
                <w:lang w:eastAsia="en-GB"/>
                <w14:ligatures w14:val="none"/>
              </w:rPr>
              <w:t>2024</w:t>
            </w:r>
          </w:p>
        </w:tc>
        <w:tc>
          <w:tcPr>
            <w:tcW w:w="0" w:type="auto"/>
            <w:tcBorders>
              <w:top w:val="nil"/>
              <w:left w:val="nil"/>
              <w:bottom w:val="single" w:sz="4" w:space="0" w:color="auto"/>
              <w:right w:val="single" w:sz="4" w:space="0" w:color="auto"/>
            </w:tcBorders>
            <w:shd w:val="clear" w:color="000000" w:fill="3E5C60"/>
            <w:vAlign w:val="center"/>
            <w:hideMark/>
          </w:tcPr>
          <w:p w14:paraId="6F5B4F3C"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2023</w:t>
            </w:r>
          </w:p>
        </w:tc>
        <w:tc>
          <w:tcPr>
            <w:tcW w:w="0" w:type="auto"/>
            <w:tcBorders>
              <w:top w:val="nil"/>
              <w:left w:val="nil"/>
              <w:bottom w:val="single" w:sz="4" w:space="0" w:color="auto"/>
              <w:right w:val="single" w:sz="4" w:space="0" w:color="auto"/>
            </w:tcBorders>
            <w:shd w:val="clear" w:color="000000" w:fill="3E5C60"/>
            <w:vAlign w:val="center"/>
            <w:hideMark/>
          </w:tcPr>
          <w:p w14:paraId="1CFB931B"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2022</w:t>
            </w:r>
          </w:p>
        </w:tc>
        <w:tc>
          <w:tcPr>
            <w:tcW w:w="0" w:type="auto"/>
            <w:tcBorders>
              <w:top w:val="nil"/>
              <w:left w:val="nil"/>
              <w:bottom w:val="single" w:sz="4" w:space="0" w:color="auto"/>
              <w:right w:val="single" w:sz="4" w:space="0" w:color="auto"/>
            </w:tcBorders>
            <w:shd w:val="clear" w:color="000000" w:fill="3E5C60"/>
            <w:vAlign w:val="center"/>
            <w:hideMark/>
          </w:tcPr>
          <w:p w14:paraId="7A473245"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kern w:val="0"/>
                <w:lang w:eastAsia="en-GB"/>
                <w14:ligatures w14:val="none"/>
              </w:rPr>
              <w:t>2024</w:t>
            </w:r>
          </w:p>
        </w:tc>
        <w:tc>
          <w:tcPr>
            <w:tcW w:w="0" w:type="auto"/>
            <w:tcBorders>
              <w:top w:val="nil"/>
              <w:left w:val="nil"/>
              <w:bottom w:val="single" w:sz="4" w:space="0" w:color="auto"/>
              <w:right w:val="single" w:sz="4" w:space="0" w:color="auto"/>
            </w:tcBorders>
            <w:shd w:val="clear" w:color="000000" w:fill="3E5C60"/>
            <w:vAlign w:val="center"/>
            <w:hideMark/>
          </w:tcPr>
          <w:p w14:paraId="18607B81"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2023</w:t>
            </w:r>
          </w:p>
        </w:tc>
        <w:tc>
          <w:tcPr>
            <w:tcW w:w="0" w:type="auto"/>
            <w:tcBorders>
              <w:top w:val="nil"/>
              <w:left w:val="nil"/>
              <w:bottom w:val="single" w:sz="4" w:space="0" w:color="auto"/>
              <w:right w:val="single" w:sz="4" w:space="0" w:color="auto"/>
            </w:tcBorders>
            <w:shd w:val="clear" w:color="000000" w:fill="3E5C60"/>
            <w:vAlign w:val="center"/>
            <w:hideMark/>
          </w:tcPr>
          <w:p w14:paraId="486EAFD9"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2022</w:t>
            </w:r>
          </w:p>
        </w:tc>
        <w:tc>
          <w:tcPr>
            <w:tcW w:w="0" w:type="auto"/>
            <w:tcBorders>
              <w:top w:val="nil"/>
              <w:left w:val="nil"/>
              <w:bottom w:val="single" w:sz="4" w:space="0" w:color="auto"/>
              <w:right w:val="single" w:sz="4" w:space="0" w:color="auto"/>
            </w:tcBorders>
            <w:shd w:val="clear" w:color="000000" w:fill="3E5C60"/>
            <w:vAlign w:val="center"/>
            <w:hideMark/>
          </w:tcPr>
          <w:p w14:paraId="595CE335"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kern w:val="0"/>
                <w:lang w:eastAsia="en-GB"/>
                <w14:ligatures w14:val="none"/>
              </w:rPr>
              <w:t>2024</w:t>
            </w:r>
          </w:p>
        </w:tc>
        <w:tc>
          <w:tcPr>
            <w:tcW w:w="0" w:type="auto"/>
            <w:tcBorders>
              <w:top w:val="nil"/>
              <w:left w:val="nil"/>
              <w:bottom w:val="single" w:sz="4" w:space="0" w:color="auto"/>
              <w:right w:val="single" w:sz="4" w:space="0" w:color="auto"/>
            </w:tcBorders>
            <w:shd w:val="clear" w:color="000000" w:fill="3E5C60"/>
            <w:vAlign w:val="center"/>
            <w:hideMark/>
          </w:tcPr>
          <w:p w14:paraId="5B855E1D"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2023</w:t>
            </w:r>
          </w:p>
        </w:tc>
        <w:tc>
          <w:tcPr>
            <w:tcW w:w="0" w:type="auto"/>
            <w:tcBorders>
              <w:top w:val="nil"/>
              <w:left w:val="nil"/>
              <w:bottom w:val="single" w:sz="4" w:space="0" w:color="auto"/>
              <w:right w:val="single" w:sz="4" w:space="0" w:color="auto"/>
            </w:tcBorders>
            <w:shd w:val="clear" w:color="000000" w:fill="3E5C60"/>
            <w:vAlign w:val="center"/>
            <w:hideMark/>
          </w:tcPr>
          <w:p w14:paraId="26787406"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2022</w:t>
            </w:r>
          </w:p>
        </w:tc>
      </w:tr>
      <w:tr w:rsidR="00E508B9" w:rsidRPr="000C0924" w14:paraId="2AFE91F9" w14:textId="77777777" w:rsidTr="00777857">
        <w:trPr>
          <w:trHeight w:val="229"/>
        </w:trPr>
        <w:tc>
          <w:tcPr>
            <w:tcW w:w="0" w:type="auto"/>
            <w:tcBorders>
              <w:top w:val="nil"/>
              <w:left w:val="single" w:sz="4" w:space="0" w:color="auto"/>
              <w:bottom w:val="single" w:sz="4" w:space="0" w:color="auto"/>
              <w:right w:val="single" w:sz="4" w:space="0" w:color="auto"/>
            </w:tcBorders>
            <w:shd w:val="clear" w:color="000000" w:fill="3E5C60"/>
            <w:vAlign w:val="center"/>
            <w:hideMark/>
          </w:tcPr>
          <w:p w14:paraId="26AF71E8" w14:textId="77777777" w:rsidR="00F7478D" w:rsidRPr="00DA35A0" w:rsidRDefault="00F7478D" w:rsidP="00801D97">
            <w:pPr>
              <w:spacing w:after="0" w:line="240" w:lineRule="auto"/>
              <w:jc w:val="both"/>
              <w:rPr>
                <w:rFonts w:eastAsia="Times New Roman" w:cs="Times New Roman"/>
                <w:color w:val="FFFFFF"/>
                <w:kern w:val="0"/>
                <w:lang w:eastAsia="en-GB"/>
                <w14:ligatures w14:val="none"/>
              </w:rPr>
            </w:pPr>
            <w:r w:rsidRPr="00DA35A0">
              <w:rPr>
                <w:rFonts w:eastAsia="Times New Roman" w:cs="Times New Roman"/>
                <w:color w:val="FFFFFF" w:themeColor="background1"/>
                <w:kern w:val="0"/>
                <w:lang w:eastAsia="en-GB"/>
                <w14:ligatures w14:val="none"/>
              </w:rPr>
              <w:t> </w:t>
            </w:r>
          </w:p>
        </w:tc>
        <w:tc>
          <w:tcPr>
            <w:tcW w:w="0" w:type="auto"/>
            <w:tcBorders>
              <w:top w:val="nil"/>
              <w:left w:val="nil"/>
              <w:bottom w:val="single" w:sz="4" w:space="0" w:color="auto"/>
              <w:right w:val="single" w:sz="4" w:space="0" w:color="auto"/>
            </w:tcBorders>
            <w:shd w:val="clear" w:color="000000" w:fill="3E5C60"/>
            <w:vAlign w:val="center"/>
            <w:hideMark/>
          </w:tcPr>
          <w:p w14:paraId="33B19072"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GJ</w:t>
            </w:r>
          </w:p>
        </w:tc>
        <w:tc>
          <w:tcPr>
            <w:tcW w:w="0" w:type="auto"/>
            <w:tcBorders>
              <w:top w:val="nil"/>
              <w:left w:val="nil"/>
              <w:bottom w:val="single" w:sz="4" w:space="0" w:color="auto"/>
              <w:right w:val="single" w:sz="4" w:space="0" w:color="auto"/>
            </w:tcBorders>
            <w:shd w:val="clear" w:color="000000" w:fill="3E5C60"/>
            <w:vAlign w:val="center"/>
            <w:hideMark/>
          </w:tcPr>
          <w:p w14:paraId="3DFF43F9"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GJ</w:t>
            </w:r>
          </w:p>
        </w:tc>
        <w:tc>
          <w:tcPr>
            <w:tcW w:w="0" w:type="auto"/>
            <w:tcBorders>
              <w:top w:val="nil"/>
              <w:left w:val="nil"/>
              <w:bottom w:val="single" w:sz="4" w:space="0" w:color="auto"/>
              <w:right w:val="single" w:sz="4" w:space="0" w:color="auto"/>
            </w:tcBorders>
            <w:shd w:val="clear" w:color="000000" w:fill="3E5C60"/>
            <w:vAlign w:val="center"/>
            <w:hideMark/>
          </w:tcPr>
          <w:p w14:paraId="04DF8A24"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GJ</w:t>
            </w:r>
          </w:p>
        </w:tc>
        <w:tc>
          <w:tcPr>
            <w:tcW w:w="0" w:type="auto"/>
            <w:tcBorders>
              <w:top w:val="nil"/>
              <w:left w:val="nil"/>
              <w:bottom w:val="single" w:sz="4" w:space="0" w:color="auto"/>
              <w:right w:val="single" w:sz="4" w:space="0" w:color="auto"/>
            </w:tcBorders>
            <w:shd w:val="clear" w:color="000000" w:fill="3E5C60"/>
            <w:vAlign w:val="center"/>
            <w:hideMark/>
          </w:tcPr>
          <w:p w14:paraId="0EC34306"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GJ</w:t>
            </w:r>
          </w:p>
        </w:tc>
        <w:tc>
          <w:tcPr>
            <w:tcW w:w="0" w:type="auto"/>
            <w:tcBorders>
              <w:top w:val="nil"/>
              <w:left w:val="nil"/>
              <w:bottom w:val="single" w:sz="4" w:space="0" w:color="auto"/>
              <w:right w:val="single" w:sz="4" w:space="0" w:color="auto"/>
            </w:tcBorders>
            <w:shd w:val="clear" w:color="000000" w:fill="3E5C60"/>
            <w:vAlign w:val="center"/>
            <w:hideMark/>
          </w:tcPr>
          <w:p w14:paraId="73EEFCA4"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GJ</w:t>
            </w:r>
          </w:p>
        </w:tc>
        <w:tc>
          <w:tcPr>
            <w:tcW w:w="0" w:type="auto"/>
            <w:tcBorders>
              <w:top w:val="nil"/>
              <w:left w:val="nil"/>
              <w:bottom w:val="single" w:sz="4" w:space="0" w:color="auto"/>
              <w:right w:val="single" w:sz="4" w:space="0" w:color="auto"/>
            </w:tcBorders>
            <w:shd w:val="clear" w:color="000000" w:fill="3E5C60"/>
            <w:vAlign w:val="center"/>
            <w:hideMark/>
          </w:tcPr>
          <w:p w14:paraId="325F1A03"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GJ</w:t>
            </w:r>
          </w:p>
        </w:tc>
        <w:tc>
          <w:tcPr>
            <w:tcW w:w="0" w:type="auto"/>
            <w:tcBorders>
              <w:top w:val="nil"/>
              <w:left w:val="nil"/>
              <w:bottom w:val="single" w:sz="4" w:space="0" w:color="auto"/>
              <w:right w:val="single" w:sz="4" w:space="0" w:color="auto"/>
            </w:tcBorders>
            <w:shd w:val="clear" w:color="000000" w:fill="3E5C60"/>
            <w:vAlign w:val="center"/>
            <w:hideMark/>
          </w:tcPr>
          <w:p w14:paraId="0575B771"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GJ</w:t>
            </w:r>
          </w:p>
        </w:tc>
        <w:tc>
          <w:tcPr>
            <w:tcW w:w="0" w:type="auto"/>
            <w:tcBorders>
              <w:top w:val="nil"/>
              <w:left w:val="nil"/>
              <w:bottom w:val="single" w:sz="4" w:space="0" w:color="auto"/>
              <w:right w:val="single" w:sz="4" w:space="0" w:color="auto"/>
            </w:tcBorders>
            <w:shd w:val="clear" w:color="000000" w:fill="3E5C60"/>
            <w:vAlign w:val="center"/>
            <w:hideMark/>
          </w:tcPr>
          <w:p w14:paraId="100B0F12"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GJ</w:t>
            </w:r>
          </w:p>
        </w:tc>
        <w:tc>
          <w:tcPr>
            <w:tcW w:w="0" w:type="auto"/>
            <w:tcBorders>
              <w:top w:val="nil"/>
              <w:left w:val="nil"/>
              <w:bottom w:val="single" w:sz="4" w:space="0" w:color="auto"/>
              <w:right w:val="single" w:sz="4" w:space="0" w:color="auto"/>
            </w:tcBorders>
            <w:shd w:val="clear" w:color="000000" w:fill="3E5C60"/>
            <w:vAlign w:val="center"/>
            <w:hideMark/>
          </w:tcPr>
          <w:p w14:paraId="134DCEAE" w14:textId="77777777" w:rsidR="00F7478D" w:rsidRPr="00DA35A0" w:rsidRDefault="00F7478D" w:rsidP="00801D97">
            <w:pPr>
              <w:spacing w:after="0" w:line="240" w:lineRule="auto"/>
              <w:jc w:val="center"/>
              <w:rPr>
                <w:rFonts w:eastAsia="Times New Roman" w:cs="Times New Roman"/>
                <w:b/>
                <w:color w:val="FFFFFF"/>
                <w:kern w:val="0"/>
                <w:lang w:eastAsia="en-GB"/>
                <w14:ligatures w14:val="none"/>
              </w:rPr>
            </w:pPr>
            <w:r w:rsidRPr="00DA35A0">
              <w:rPr>
                <w:rFonts w:eastAsia="Times New Roman" w:cs="Times New Roman"/>
                <w:b/>
                <w:color w:val="FFFFFF" w:themeColor="background1"/>
                <w:kern w:val="0"/>
                <w:lang w:eastAsia="en-GB"/>
                <w14:ligatures w14:val="none"/>
              </w:rPr>
              <w:t>GJ</w:t>
            </w:r>
          </w:p>
        </w:tc>
      </w:tr>
      <w:tr w:rsidR="007D08BE" w:rsidRPr="000C0924" w14:paraId="6BFB13FA" w14:textId="77777777" w:rsidTr="00DA35A0">
        <w:trPr>
          <w:trHeight w:val="121"/>
        </w:trPr>
        <w:tc>
          <w:tcPr>
            <w:tcW w:w="0" w:type="auto"/>
            <w:tcBorders>
              <w:top w:val="nil"/>
              <w:left w:val="single" w:sz="4" w:space="0" w:color="auto"/>
              <w:bottom w:val="single" w:sz="4" w:space="0" w:color="auto"/>
              <w:right w:val="single" w:sz="4" w:space="0" w:color="auto"/>
            </w:tcBorders>
            <w:vAlign w:val="center"/>
            <w:hideMark/>
          </w:tcPr>
          <w:p w14:paraId="0332D01B" w14:textId="77777777" w:rsidR="00F7478D" w:rsidRPr="00DA35A0" w:rsidRDefault="00F7478D" w:rsidP="00801D97">
            <w:pPr>
              <w:spacing w:after="0" w:line="240" w:lineRule="auto"/>
              <w:jc w:val="both"/>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 </w:t>
            </w:r>
          </w:p>
        </w:tc>
        <w:tc>
          <w:tcPr>
            <w:tcW w:w="0" w:type="auto"/>
            <w:tcBorders>
              <w:top w:val="nil"/>
              <w:left w:val="nil"/>
              <w:bottom w:val="single" w:sz="4" w:space="0" w:color="auto"/>
              <w:right w:val="single" w:sz="4" w:space="0" w:color="auto"/>
            </w:tcBorders>
            <w:vAlign w:val="center"/>
            <w:hideMark/>
          </w:tcPr>
          <w:p w14:paraId="4F665CB2" w14:textId="77777777" w:rsidR="00F7478D" w:rsidRPr="00DA35A0" w:rsidRDefault="00F7478D" w:rsidP="00801D97">
            <w:pPr>
              <w:spacing w:after="0" w:line="240" w:lineRule="auto"/>
              <w:jc w:val="both"/>
              <w:rPr>
                <w:rFonts w:eastAsia="Times New Roman" w:cs="Times New Roman"/>
                <w:color w:val="44546A"/>
                <w:kern w:val="0"/>
                <w:lang w:eastAsia="en-GB"/>
                <w14:ligatures w14:val="none"/>
              </w:rPr>
            </w:pPr>
            <w:r w:rsidRPr="00DA35A0">
              <w:rPr>
                <w:rFonts w:eastAsia="Times New Roman" w:cs="Times New Roman"/>
                <w:color w:val="44546A"/>
                <w:kern w:val="0"/>
                <w:lang w:eastAsia="en-GB"/>
                <w14:ligatures w14:val="none"/>
              </w:rPr>
              <w:t> </w:t>
            </w:r>
          </w:p>
        </w:tc>
        <w:tc>
          <w:tcPr>
            <w:tcW w:w="0" w:type="auto"/>
            <w:tcBorders>
              <w:top w:val="nil"/>
              <w:left w:val="nil"/>
              <w:bottom w:val="single" w:sz="4" w:space="0" w:color="auto"/>
              <w:right w:val="single" w:sz="4" w:space="0" w:color="auto"/>
            </w:tcBorders>
            <w:vAlign w:val="center"/>
            <w:hideMark/>
          </w:tcPr>
          <w:p w14:paraId="24FEFE0C"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 </w:t>
            </w:r>
          </w:p>
        </w:tc>
        <w:tc>
          <w:tcPr>
            <w:tcW w:w="0" w:type="auto"/>
            <w:tcBorders>
              <w:top w:val="nil"/>
              <w:left w:val="nil"/>
              <w:bottom w:val="single" w:sz="4" w:space="0" w:color="auto"/>
              <w:right w:val="single" w:sz="4" w:space="0" w:color="auto"/>
            </w:tcBorders>
            <w:vAlign w:val="center"/>
            <w:hideMark/>
          </w:tcPr>
          <w:p w14:paraId="6564D39F"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 </w:t>
            </w:r>
          </w:p>
        </w:tc>
        <w:tc>
          <w:tcPr>
            <w:tcW w:w="0" w:type="auto"/>
            <w:tcBorders>
              <w:top w:val="nil"/>
              <w:left w:val="nil"/>
              <w:bottom w:val="single" w:sz="4" w:space="0" w:color="auto"/>
              <w:right w:val="single" w:sz="4" w:space="0" w:color="auto"/>
            </w:tcBorders>
            <w:vAlign w:val="center"/>
            <w:hideMark/>
          </w:tcPr>
          <w:p w14:paraId="68175C9E"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kern w:val="0"/>
                <w:lang w:eastAsia="en-GB"/>
                <w14:ligatures w14:val="none"/>
              </w:rPr>
              <w:t> </w:t>
            </w:r>
          </w:p>
        </w:tc>
        <w:tc>
          <w:tcPr>
            <w:tcW w:w="0" w:type="auto"/>
            <w:tcBorders>
              <w:top w:val="nil"/>
              <w:left w:val="nil"/>
              <w:bottom w:val="single" w:sz="4" w:space="0" w:color="auto"/>
              <w:right w:val="single" w:sz="4" w:space="0" w:color="auto"/>
            </w:tcBorders>
            <w:vAlign w:val="center"/>
            <w:hideMark/>
          </w:tcPr>
          <w:p w14:paraId="6348FBC7"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 </w:t>
            </w:r>
          </w:p>
        </w:tc>
        <w:tc>
          <w:tcPr>
            <w:tcW w:w="0" w:type="auto"/>
            <w:tcBorders>
              <w:top w:val="nil"/>
              <w:left w:val="nil"/>
              <w:bottom w:val="single" w:sz="4" w:space="0" w:color="auto"/>
              <w:right w:val="single" w:sz="4" w:space="0" w:color="auto"/>
            </w:tcBorders>
            <w:vAlign w:val="center"/>
            <w:hideMark/>
          </w:tcPr>
          <w:p w14:paraId="01EFEE18"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 </w:t>
            </w:r>
          </w:p>
        </w:tc>
        <w:tc>
          <w:tcPr>
            <w:tcW w:w="0" w:type="auto"/>
            <w:tcBorders>
              <w:top w:val="nil"/>
              <w:left w:val="nil"/>
              <w:bottom w:val="single" w:sz="4" w:space="0" w:color="auto"/>
              <w:right w:val="single" w:sz="4" w:space="0" w:color="auto"/>
            </w:tcBorders>
            <w:vAlign w:val="center"/>
            <w:hideMark/>
          </w:tcPr>
          <w:p w14:paraId="6C8DB84D"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kern w:val="0"/>
                <w:lang w:eastAsia="en-GB"/>
                <w14:ligatures w14:val="none"/>
              </w:rPr>
              <w:t> </w:t>
            </w:r>
          </w:p>
        </w:tc>
        <w:tc>
          <w:tcPr>
            <w:tcW w:w="0" w:type="auto"/>
            <w:tcBorders>
              <w:top w:val="nil"/>
              <w:left w:val="nil"/>
              <w:bottom w:val="single" w:sz="4" w:space="0" w:color="auto"/>
              <w:right w:val="single" w:sz="4" w:space="0" w:color="auto"/>
            </w:tcBorders>
            <w:vAlign w:val="center"/>
            <w:hideMark/>
          </w:tcPr>
          <w:p w14:paraId="13E45AEA"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 </w:t>
            </w:r>
          </w:p>
        </w:tc>
        <w:tc>
          <w:tcPr>
            <w:tcW w:w="0" w:type="auto"/>
            <w:tcBorders>
              <w:top w:val="nil"/>
              <w:left w:val="nil"/>
              <w:bottom w:val="single" w:sz="4" w:space="0" w:color="auto"/>
              <w:right w:val="single" w:sz="4" w:space="0" w:color="auto"/>
            </w:tcBorders>
            <w:vAlign w:val="center"/>
            <w:hideMark/>
          </w:tcPr>
          <w:p w14:paraId="3A806DA5"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 </w:t>
            </w:r>
          </w:p>
        </w:tc>
      </w:tr>
      <w:tr w:rsidR="007D08BE" w:rsidRPr="000C0924" w14:paraId="70BF8CB7" w14:textId="77777777" w:rsidTr="00DA35A0">
        <w:trPr>
          <w:trHeight w:val="360"/>
        </w:trPr>
        <w:tc>
          <w:tcPr>
            <w:tcW w:w="0" w:type="auto"/>
            <w:tcBorders>
              <w:top w:val="nil"/>
              <w:left w:val="single" w:sz="4" w:space="0" w:color="auto"/>
              <w:bottom w:val="single" w:sz="4" w:space="0" w:color="auto"/>
              <w:right w:val="single" w:sz="4" w:space="0" w:color="auto"/>
            </w:tcBorders>
            <w:vAlign w:val="center"/>
            <w:hideMark/>
          </w:tcPr>
          <w:p w14:paraId="1A3A5123" w14:textId="77777777" w:rsidR="00F7478D" w:rsidRPr="00DA35A0" w:rsidRDefault="00F7478D" w:rsidP="00801D97">
            <w:pPr>
              <w:spacing w:after="0" w:line="240" w:lineRule="auto"/>
              <w:jc w:val="both"/>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Diesel</w:t>
            </w:r>
          </w:p>
        </w:tc>
        <w:tc>
          <w:tcPr>
            <w:tcW w:w="0" w:type="auto"/>
            <w:tcBorders>
              <w:top w:val="nil"/>
              <w:left w:val="nil"/>
              <w:bottom w:val="single" w:sz="4" w:space="0" w:color="auto"/>
              <w:right w:val="single" w:sz="4" w:space="0" w:color="auto"/>
            </w:tcBorders>
            <w:vAlign w:val="center"/>
            <w:hideMark/>
          </w:tcPr>
          <w:p w14:paraId="4A47742C"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kern w:val="0"/>
                <w:lang w:eastAsia="en-GB"/>
                <w14:ligatures w14:val="none"/>
              </w:rPr>
              <w:t>6,958</w:t>
            </w:r>
          </w:p>
        </w:tc>
        <w:tc>
          <w:tcPr>
            <w:tcW w:w="0" w:type="auto"/>
            <w:tcBorders>
              <w:top w:val="nil"/>
              <w:left w:val="nil"/>
              <w:bottom w:val="single" w:sz="4" w:space="0" w:color="auto"/>
              <w:right w:val="single" w:sz="4" w:space="0" w:color="auto"/>
            </w:tcBorders>
            <w:vAlign w:val="center"/>
            <w:hideMark/>
          </w:tcPr>
          <w:p w14:paraId="32408843"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8,913</w:t>
            </w:r>
          </w:p>
        </w:tc>
        <w:tc>
          <w:tcPr>
            <w:tcW w:w="0" w:type="auto"/>
            <w:tcBorders>
              <w:top w:val="nil"/>
              <w:left w:val="nil"/>
              <w:bottom w:val="single" w:sz="4" w:space="0" w:color="auto"/>
              <w:right w:val="single" w:sz="4" w:space="0" w:color="auto"/>
            </w:tcBorders>
            <w:vAlign w:val="center"/>
            <w:hideMark/>
          </w:tcPr>
          <w:p w14:paraId="70B848BB"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8,050</w:t>
            </w:r>
          </w:p>
        </w:tc>
        <w:tc>
          <w:tcPr>
            <w:tcW w:w="0" w:type="auto"/>
            <w:tcBorders>
              <w:top w:val="nil"/>
              <w:left w:val="nil"/>
              <w:bottom w:val="single" w:sz="4" w:space="0" w:color="auto"/>
              <w:right w:val="single" w:sz="4" w:space="0" w:color="auto"/>
            </w:tcBorders>
            <w:vAlign w:val="center"/>
            <w:hideMark/>
          </w:tcPr>
          <w:p w14:paraId="68CB1854"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kern w:val="0"/>
                <w:lang w:eastAsia="en-GB"/>
                <w14:ligatures w14:val="none"/>
              </w:rPr>
              <w:t>48,230</w:t>
            </w:r>
          </w:p>
        </w:tc>
        <w:tc>
          <w:tcPr>
            <w:tcW w:w="0" w:type="auto"/>
            <w:tcBorders>
              <w:top w:val="nil"/>
              <w:left w:val="nil"/>
              <w:bottom w:val="single" w:sz="4" w:space="0" w:color="auto"/>
              <w:right w:val="single" w:sz="4" w:space="0" w:color="auto"/>
            </w:tcBorders>
            <w:vAlign w:val="center"/>
            <w:hideMark/>
          </w:tcPr>
          <w:p w14:paraId="52714C05"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41,935</w:t>
            </w:r>
          </w:p>
        </w:tc>
        <w:tc>
          <w:tcPr>
            <w:tcW w:w="0" w:type="auto"/>
            <w:tcBorders>
              <w:top w:val="nil"/>
              <w:left w:val="nil"/>
              <w:bottom w:val="single" w:sz="4" w:space="0" w:color="auto"/>
              <w:right w:val="single" w:sz="4" w:space="0" w:color="auto"/>
            </w:tcBorders>
            <w:vAlign w:val="center"/>
            <w:hideMark/>
          </w:tcPr>
          <w:p w14:paraId="5F7E3F2B"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39,354</w:t>
            </w:r>
          </w:p>
        </w:tc>
        <w:tc>
          <w:tcPr>
            <w:tcW w:w="0" w:type="auto"/>
            <w:tcBorders>
              <w:top w:val="nil"/>
              <w:left w:val="nil"/>
              <w:bottom w:val="single" w:sz="4" w:space="0" w:color="auto"/>
              <w:right w:val="single" w:sz="4" w:space="0" w:color="auto"/>
            </w:tcBorders>
            <w:vAlign w:val="center"/>
            <w:hideMark/>
          </w:tcPr>
          <w:p w14:paraId="094A4F48"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kern w:val="0"/>
                <w:lang w:eastAsia="en-GB"/>
                <w14:ligatures w14:val="none"/>
              </w:rPr>
              <w:t>55,188</w:t>
            </w:r>
          </w:p>
        </w:tc>
        <w:tc>
          <w:tcPr>
            <w:tcW w:w="0" w:type="auto"/>
            <w:tcBorders>
              <w:top w:val="nil"/>
              <w:left w:val="nil"/>
              <w:bottom w:val="single" w:sz="4" w:space="0" w:color="auto"/>
              <w:right w:val="single" w:sz="4" w:space="0" w:color="auto"/>
            </w:tcBorders>
            <w:vAlign w:val="center"/>
            <w:hideMark/>
          </w:tcPr>
          <w:p w14:paraId="02D03DE6"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50,848</w:t>
            </w:r>
          </w:p>
        </w:tc>
        <w:tc>
          <w:tcPr>
            <w:tcW w:w="0" w:type="auto"/>
            <w:tcBorders>
              <w:top w:val="nil"/>
              <w:left w:val="nil"/>
              <w:bottom w:val="single" w:sz="4" w:space="0" w:color="auto"/>
              <w:right w:val="single" w:sz="4" w:space="0" w:color="auto"/>
            </w:tcBorders>
            <w:vAlign w:val="center"/>
            <w:hideMark/>
          </w:tcPr>
          <w:p w14:paraId="09E351A3"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47,404</w:t>
            </w:r>
          </w:p>
        </w:tc>
      </w:tr>
      <w:tr w:rsidR="007D08BE" w:rsidRPr="000C0924" w14:paraId="3DF463A4" w14:textId="77777777" w:rsidTr="00DA35A0">
        <w:trPr>
          <w:trHeight w:val="360"/>
        </w:trPr>
        <w:tc>
          <w:tcPr>
            <w:tcW w:w="0" w:type="auto"/>
            <w:tcBorders>
              <w:top w:val="nil"/>
              <w:left w:val="single" w:sz="4" w:space="0" w:color="auto"/>
              <w:bottom w:val="single" w:sz="4" w:space="0" w:color="auto"/>
              <w:right w:val="single" w:sz="4" w:space="0" w:color="auto"/>
            </w:tcBorders>
            <w:vAlign w:val="center"/>
            <w:hideMark/>
          </w:tcPr>
          <w:p w14:paraId="7F8649A5" w14:textId="77777777" w:rsidR="00F7478D" w:rsidRPr="00DA35A0" w:rsidRDefault="00F7478D" w:rsidP="00801D97">
            <w:pPr>
              <w:spacing w:after="0" w:line="240" w:lineRule="auto"/>
              <w:jc w:val="both"/>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Gasoline</w:t>
            </w:r>
          </w:p>
        </w:tc>
        <w:tc>
          <w:tcPr>
            <w:tcW w:w="0" w:type="auto"/>
            <w:tcBorders>
              <w:top w:val="nil"/>
              <w:left w:val="nil"/>
              <w:bottom w:val="single" w:sz="4" w:space="0" w:color="auto"/>
              <w:right w:val="single" w:sz="4" w:space="0" w:color="auto"/>
            </w:tcBorders>
            <w:vAlign w:val="center"/>
            <w:hideMark/>
          </w:tcPr>
          <w:p w14:paraId="5DC435B4"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kern w:val="0"/>
                <w:lang w:eastAsia="en-GB"/>
                <w14:ligatures w14:val="none"/>
              </w:rPr>
              <w:t>4,838</w:t>
            </w:r>
          </w:p>
        </w:tc>
        <w:tc>
          <w:tcPr>
            <w:tcW w:w="0" w:type="auto"/>
            <w:tcBorders>
              <w:top w:val="nil"/>
              <w:left w:val="nil"/>
              <w:bottom w:val="single" w:sz="4" w:space="0" w:color="auto"/>
              <w:right w:val="single" w:sz="4" w:space="0" w:color="auto"/>
            </w:tcBorders>
            <w:vAlign w:val="center"/>
            <w:hideMark/>
          </w:tcPr>
          <w:p w14:paraId="4B4D107C"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5,403</w:t>
            </w:r>
          </w:p>
        </w:tc>
        <w:tc>
          <w:tcPr>
            <w:tcW w:w="0" w:type="auto"/>
            <w:tcBorders>
              <w:top w:val="nil"/>
              <w:left w:val="nil"/>
              <w:bottom w:val="single" w:sz="4" w:space="0" w:color="auto"/>
              <w:right w:val="single" w:sz="4" w:space="0" w:color="auto"/>
            </w:tcBorders>
            <w:vAlign w:val="center"/>
            <w:hideMark/>
          </w:tcPr>
          <w:p w14:paraId="667E3392"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5,453</w:t>
            </w:r>
          </w:p>
        </w:tc>
        <w:tc>
          <w:tcPr>
            <w:tcW w:w="0" w:type="auto"/>
            <w:tcBorders>
              <w:top w:val="nil"/>
              <w:left w:val="nil"/>
              <w:bottom w:val="single" w:sz="4" w:space="0" w:color="auto"/>
              <w:right w:val="single" w:sz="4" w:space="0" w:color="auto"/>
            </w:tcBorders>
            <w:vAlign w:val="center"/>
            <w:hideMark/>
          </w:tcPr>
          <w:p w14:paraId="128D4FAB"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 xml:space="preserve">        -   </w:t>
            </w:r>
          </w:p>
        </w:tc>
        <w:tc>
          <w:tcPr>
            <w:tcW w:w="0" w:type="auto"/>
            <w:tcBorders>
              <w:top w:val="nil"/>
              <w:left w:val="nil"/>
              <w:bottom w:val="single" w:sz="4" w:space="0" w:color="auto"/>
              <w:right w:val="single" w:sz="4" w:space="0" w:color="auto"/>
            </w:tcBorders>
            <w:vAlign w:val="center"/>
            <w:hideMark/>
          </w:tcPr>
          <w:p w14:paraId="52360E9D"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 xml:space="preserve">        -   </w:t>
            </w:r>
          </w:p>
        </w:tc>
        <w:tc>
          <w:tcPr>
            <w:tcW w:w="0" w:type="auto"/>
            <w:tcBorders>
              <w:top w:val="nil"/>
              <w:left w:val="nil"/>
              <w:bottom w:val="single" w:sz="4" w:space="0" w:color="auto"/>
              <w:right w:val="single" w:sz="4" w:space="0" w:color="auto"/>
            </w:tcBorders>
            <w:vAlign w:val="center"/>
            <w:hideMark/>
          </w:tcPr>
          <w:p w14:paraId="7EDB7F6A"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 xml:space="preserve">        -   </w:t>
            </w:r>
          </w:p>
        </w:tc>
        <w:tc>
          <w:tcPr>
            <w:tcW w:w="0" w:type="auto"/>
            <w:tcBorders>
              <w:top w:val="nil"/>
              <w:left w:val="nil"/>
              <w:bottom w:val="single" w:sz="4" w:space="0" w:color="auto"/>
              <w:right w:val="single" w:sz="4" w:space="0" w:color="auto"/>
            </w:tcBorders>
            <w:vAlign w:val="center"/>
            <w:hideMark/>
          </w:tcPr>
          <w:p w14:paraId="45B3F24E"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kern w:val="0"/>
                <w:lang w:eastAsia="en-GB"/>
                <w14:ligatures w14:val="none"/>
              </w:rPr>
              <w:t>4,838</w:t>
            </w:r>
          </w:p>
        </w:tc>
        <w:tc>
          <w:tcPr>
            <w:tcW w:w="0" w:type="auto"/>
            <w:tcBorders>
              <w:top w:val="nil"/>
              <w:left w:val="nil"/>
              <w:bottom w:val="single" w:sz="4" w:space="0" w:color="auto"/>
              <w:right w:val="single" w:sz="4" w:space="0" w:color="auto"/>
            </w:tcBorders>
            <w:vAlign w:val="center"/>
            <w:hideMark/>
          </w:tcPr>
          <w:p w14:paraId="23636A49"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5,403</w:t>
            </w:r>
          </w:p>
        </w:tc>
        <w:tc>
          <w:tcPr>
            <w:tcW w:w="0" w:type="auto"/>
            <w:tcBorders>
              <w:top w:val="nil"/>
              <w:left w:val="nil"/>
              <w:bottom w:val="single" w:sz="4" w:space="0" w:color="auto"/>
              <w:right w:val="single" w:sz="4" w:space="0" w:color="auto"/>
            </w:tcBorders>
            <w:vAlign w:val="center"/>
            <w:hideMark/>
          </w:tcPr>
          <w:p w14:paraId="37F14517"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5,453</w:t>
            </w:r>
          </w:p>
        </w:tc>
      </w:tr>
      <w:tr w:rsidR="007D08BE" w:rsidRPr="000C0924" w14:paraId="52360CB5" w14:textId="77777777" w:rsidTr="00DA35A0">
        <w:trPr>
          <w:trHeight w:val="360"/>
        </w:trPr>
        <w:tc>
          <w:tcPr>
            <w:tcW w:w="0" w:type="auto"/>
            <w:tcBorders>
              <w:top w:val="nil"/>
              <w:left w:val="single" w:sz="4" w:space="0" w:color="auto"/>
              <w:bottom w:val="single" w:sz="4" w:space="0" w:color="auto"/>
              <w:right w:val="single" w:sz="4" w:space="0" w:color="auto"/>
            </w:tcBorders>
            <w:vAlign w:val="center"/>
            <w:hideMark/>
          </w:tcPr>
          <w:p w14:paraId="639F4DB6" w14:textId="77777777" w:rsidR="00F7478D" w:rsidRPr="00DA35A0" w:rsidRDefault="00F7478D" w:rsidP="00801D97">
            <w:pPr>
              <w:spacing w:after="0" w:line="240" w:lineRule="auto"/>
              <w:jc w:val="both"/>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Propane</w:t>
            </w:r>
          </w:p>
        </w:tc>
        <w:tc>
          <w:tcPr>
            <w:tcW w:w="0" w:type="auto"/>
            <w:tcBorders>
              <w:top w:val="nil"/>
              <w:left w:val="nil"/>
              <w:bottom w:val="single" w:sz="4" w:space="0" w:color="auto"/>
              <w:right w:val="single" w:sz="4" w:space="0" w:color="auto"/>
            </w:tcBorders>
            <w:vAlign w:val="center"/>
            <w:hideMark/>
          </w:tcPr>
          <w:p w14:paraId="717535BA"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kern w:val="0"/>
                <w:lang w:eastAsia="en-GB"/>
                <w14:ligatures w14:val="none"/>
              </w:rPr>
              <w:t xml:space="preserve">          -   </w:t>
            </w:r>
          </w:p>
        </w:tc>
        <w:tc>
          <w:tcPr>
            <w:tcW w:w="0" w:type="auto"/>
            <w:tcBorders>
              <w:top w:val="nil"/>
              <w:left w:val="nil"/>
              <w:bottom w:val="single" w:sz="4" w:space="0" w:color="auto"/>
              <w:right w:val="single" w:sz="4" w:space="0" w:color="auto"/>
            </w:tcBorders>
            <w:vAlign w:val="center"/>
            <w:hideMark/>
          </w:tcPr>
          <w:p w14:paraId="389B0F04"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5</w:t>
            </w:r>
          </w:p>
        </w:tc>
        <w:tc>
          <w:tcPr>
            <w:tcW w:w="0" w:type="auto"/>
            <w:tcBorders>
              <w:top w:val="nil"/>
              <w:left w:val="nil"/>
              <w:bottom w:val="single" w:sz="4" w:space="0" w:color="auto"/>
              <w:right w:val="single" w:sz="4" w:space="0" w:color="auto"/>
            </w:tcBorders>
            <w:vAlign w:val="center"/>
            <w:hideMark/>
          </w:tcPr>
          <w:p w14:paraId="2F9BDC67"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1</w:t>
            </w:r>
          </w:p>
        </w:tc>
        <w:tc>
          <w:tcPr>
            <w:tcW w:w="0" w:type="auto"/>
            <w:tcBorders>
              <w:top w:val="nil"/>
              <w:left w:val="nil"/>
              <w:bottom w:val="single" w:sz="4" w:space="0" w:color="auto"/>
              <w:right w:val="single" w:sz="4" w:space="0" w:color="auto"/>
            </w:tcBorders>
            <w:vAlign w:val="center"/>
            <w:hideMark/>
          </w:tcPr>
          <w:p w14:paraId="09632DFE"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kern w:val="0"/>
                <w:lang w:eastAsia="en-GB"/>
                <w14:ligatures w14:val="none"/>
              </w:rPr>
              <w:t xml:space="preserve">        -   </w:t>
            </w:r>
          </w:p>
        </w:tc>
        <w:tc>
          <w:tcPr>
            <w:tcW w:w="0" w:type="auto"/>
            <w:tcBorders>
              <w:top w:val="nil"/>
              <w:left w:val="nil"/>
              <w:bottom w:val="single" w:sz="4" w:space="0" w:color="auto"/>
              <w:right w:val="single" w:sz="4" w:space="0" w:color="auto"/>
            </w:tcBorders>
            <w:vAlign w:val="center"/>
            <w:hideMark/>
          </w:tcPr>
          <w:p w14:paraId="3CE82332"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kern w:val="0"/>
                <w:lang w:eastAsia="en-GB"/>
                <w14:ligatures w14:val="none"/>
              </w:rPr>
              <w:t xml:space="preserve">        -   </w:t>
            </w:r>
          </w:p>
        </w:tc>
        <w:tc>
          <w:tcPr>
            <w:tcW w:w="0" w:type="auto"/>
            <w:tcBorders>
              <w:top w:val="nil"/>
              <w:left w:val="nil"/>
              <w:bottom w:val="single" w:sz="4" w:space="0" w:color="auto"/>
              <w:right w:val="single" w:sz="4" w:space="0" w:color="auto"/>
            </w:tcBorders>
            <w:vAlign w:val="center"/>
            <w:hideMark/>
          </w:tcPr>
          <w:p w14:paraId="309AF84D"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kern w:val="0"/>
                <w:lang w:eastAsia="en-GB"/>
                <w14:ligatures w14:val="none"/>
              </w:rPr>
              <w:t xml:space="preserve">        -   </w:t>
            </w:r>
          </w:p>
        </w:tc>
        <w:tc>
          <w:tcPr>
            <w:tcW w:w="0" w:type="auto"/>
            <w:tcBorders>
              <w:top w:val="nil"/>
              <w:left w:val="nil"/>
              <w:bottom w:val="single" w:sz="4" w:space="0" w:color="auto"/>
              <w:right w:val="single" w:sz="4" w:space="0" w:color="auto"/>
            </w:tcBorders>
            <w:vAlign w:val="center"/>
            <w:hideMark/>
          </w:tcPr>
          <w:p w14:paraId="44347239"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kern w:val="0"/>
                <w:lang w:eastAsia="en-GB"/>
                <w14:ligatures w14:val="none"/>
              </w:rPr>
              <w:t xml:space="preserve">          -   </w:t>
            </w:r>
          </w:p>
        </w:tc>
        <w:tc>
          <w:tcPr>
            <w:tcW w:w="0" w:type="auto"/>
            <w:tcBorders>
              <w:top w:val="nil"/>
              <w:left w:val="nil"/>
              <w:bottom w:val="single" w:sz="4" w:space="0" w:color="auto"/>
              <w:right w:val="single" w:sz="4" w:space="0" w:color="auto"/>
            </w:tcBorders>
            <w:vAlign w:val="center"/>
            <w:hideMark/>
          </w:tcPr>
          <w:p w14:paraId="2B0EBCCA"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5</w:t>
            </w:r>
          </w:p>
        </w:tc>
        <w:tc>
          <w:tcPr>
            <w:tcW w:w="0" w:type="auto"/>
            <w:tcBorders>
              <w:top w:val="nil"/>
              <w:left w:val="nil"/>
              <w:bottom w:val="single" w:sz="4" w:space="0" w:color="auto"/>
              <w:right w:val="single" w:sz="4" w:space="0" w:color="auto"/>
            </w:tcBorders>
            <w:vAlign w:val="center"/>
            <w:hideMark/>
          </w:tcPr>
          <w:p w14:paraId="6F6D612E"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1</w:t>
            </w:r>
          </w:p>
        </w:tc>
      </w:tr>
      <w:tr w:rsidR="007D08BE" w:rsidRPr="000C0924" w14:paraId="2ED3DB42" w14:textId="77777777" w:rsidTr="00DA35A0">
        <w:trPr>
          <w:trHeight w:val="360"/>
        </w:trPr>
        <w:tc>
          <w:tcPr>
            <w:tcW w:w="0" w:type="auto"/>
            <w:tcBorders>
              <w:top w:val="nil"/>
              <w:left w:val="single" w:sz="4" w:space="0" w:color="auto"/>
              <w:bottom w:val="single" w:sz="4" w:space="0" w:color="auto"/>
              <w:right w:val="single" w:sz="4" w:space="0" w:color="auto"/>
            </w:tcBorders>
            <w:vAlign w:val="center"/>
            <w:hideMark/>
          </w:tcPr>
          <w:p w14:paraId="7E926446" w14:textId="77777777" w:rsidR="00F7478D" w:rsidRPr="00DA35A0" w:rsidRDefault="00F7478D" w:rsidP="00801D97">
            <w:pPr>
              <w:spacing w:after="0" w:line="240" w:lineRule="auto"/>
              <w:jc w:val="both"/>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Explosives</w:t>
            </w:r>
          </w:p>
        </w:tc>
        <w:tc>
          <w:tcPr>
            <w:tcW w:w="0" w:type="auto"/>
            <w:tcBorders>
              <w:top w:val="nil"/>
              <w:left w:val="nil"/>
              <w:bottom w:val="single" w:sz="4" w:space="0" w:color="auto"/>
              <w:right w:val="single" w:sz="4" w:space="0" w:color="auto"/>
            </w:tcBorders>
            <w:vAlign w:val="center"/>
            <w:hideMark/>
          </w:tcPr>
          <w:p w14:paraId="511DE08B"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kern w:val="0"/>
                <w:lang w:eastAsia="en-GB"/>
                <w14:ligatures w14:val="none"/>
              </w:rPr>
              <w:t xml:space="preserve">          -   </w:t>
            </w:r>
          </w:p>
        </w:tc>
        <w:tc>
          <w:tcPr>
            <w:tcW w:w="0" w:type="auto"/>
            <w:tcBorders>
              <w:top w:val="nil"/>
              <w:left w:val="nil"/>
              <w:bottom w:val="single" w:sz="4" w:space="0" w:color="auto"/>
              <w:right w:val="single" w:sz="4" w:space="0" w:color="auto"/>
            </w:tcBorders>
            <w:vAlign w:val="center"/>
            <w:hideMark/>
          </w:tcPr>
          <w:p w14:paraId="023C0BF1"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 xml:space="preserve">          -   </w:t>
            </w:r>
          </w:p>
        </w:tc>
        <w:tc>
          <w:tcPr>
            <w:tcW w:w="0" w:type="auto"/>
            <w:tcBorders>
              <w:top w:val="nil"/>
              <w:left w:val="nil"/>
              <w:bottom w:val="single" w:sz="4" w:space="0" w:color="auto"/>
              <w:right w:val="single" w:sz="4" w:space="0" w:color="auto"/>
            </w:tcBorders>
            <w:vAlign w:val="center"/>
            <w:hideMark/>
          </w:tcPr>
          <w:p w14:paraId="54A2CF0D"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 xml:space="preserve">          -   </w:t>
            </w:r>
          </w:p>
        </w:tc>
        <w:tc>
          <w:tcPr>
            <w:tcW w:w="0" w:type="auto"/>
            <w:tcBorders>
              <w:top w:val="nil"/>
              <w:left w:val="nil"/>
              <w:bottom w:val="single" w:sz="4" w:space="0" w:color="auto"/>
              <w:right w:val="single" w:sz="4" w:space="0" w:color="auto"/>
            </w:tcBorders>
            <w:vAlign w:val="center"/>
            <w:hideMark/>
          </w:tcPr>
          <w:p w14:paraId="04EE0FE7"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kern w:val="0"/>
                <w:lang w:eastAsia="en-GB"/>
                <w14:ligatures w14:val="none"/>
              </w:rPr>
              <w:t>3,041</w:t>
            </w:r>
          </w:p>
        </w:tc>
        <w:tc>
          <w:tcPr>
            <w:tcW w:w="0" w:type="auto"/>
            <w:tcBorders>
              <w:top w:val="nil"/>
              <w:left w:val="nil"/>
              <w:bottom w:val="single" w:sz="4" w:space="0" w:color="auto"/>
              <w:right w:val="single" w:sz="4" w:space="0" w:color="auto"/>
            </w:tcBorders>
            <w:vAlign w:val="center"/>
            <w:hideMark/>
          </w:tcPr>
          <w:p w14:paraId="3BE4C3CB"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2,970</w:t>
            </w:r>
          </w:p>
        </w:tc>
        <w:tc>
          <w:tcPr>
            <w:tcW w:w="0" w:type="auto"/>
            <w:tcBorders>
              <w:top w:val="nil"/>
              <w:left w:val="nil"/>
              <w:bottom w:val="single" w:sz="4" w:space="0" w:color="auto"/>
              <w:right w:val="single" w:sz="4" w:space="0" w:color="auto"/>
            </w:tcBorders>
            <w:vAlign w:val="center"/>
            <w:hideMark/>
          </w:tcPr>
          <w:p w14:paraId="52382966"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2,933</w:t>
            </w:r>
          </w:p>
        </w:tc>
        <w:tc>
          <w:tcPr>
            <w:tcW w:w="0" w:type="auto"/>
            <w:tcBorders>
              <w:top w:val="nil"/>
              <w:left w:val="nil"/>
              <w:bottom w:val="single" w:sz="4" w:space="0" w:color="auto"/>
              <w:right w:val="single" w:sz="4" w:space="0" w:color="auto"/>
            </w:tcBorders>
            <w:vAlign w:val="center"/>
            <w:hideMark/>
          </w:tcPr>
          <w:p w14:paraId="4F99020C"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kern w:val="0"/>
                <w:lang w:eastAsia="en-GB"/>
                <w14:ligatures w14:val="none"/>
              </w:rPr>
              <w:t>3,041</w:t>
            </w:r>
          </w:p>
        </w:tc>
        <w:tc>
          <w:tcPr>
            <w:tcW w:w="0" w:type="auto"/>
            <w:tcBorders>
              <w:top w:val="nil"/>
              <w:left w:val="nil"/>
              <w:bottom w:val="single" w:sz="4" w:space="0" w:color="auto"/>
              <w:right w:val="single" w:sz="4" w:space="0" w:color="auto"/>
            </w:tcBorders>
            <w:vAlign w:val="center"/>
            <w:hideMark/>
          </w:tcPr>
          <w:p w14:paraId="3BF077F4"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2,970</w:t>
            </w:r>
          </w:p>
        </w:tc>
        <w:tc>
          <w:tcPr>
            <w:tcW w:w="0" w:type="auto"/>
            <w:tcBorders>
              <w:top w:val="nil"/>
              <w:left w:val="nil"/>
              <w:bottom w:val="single" w:sz="4" w:space="0" w:color="auto"/>
              <w:right w:val="single" w:sz="4" w:space="0" w:color="auto"/>
            </w:tcBorders>
            <w:vAlign w:val="center"/>
            <w:hideMark/>
          </w:tcPr>
          <w:p w14:paraId="13368D35"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2,933</w:t>
            </w:r>
          </w:p>
        </w:tc>
      </w:tr>
      <w:tr w:rsidR="007D08BE" w:rsidRPr="000C0924" w14:paraId="752954E8" w14:textId="77777777" w:rsidTr="00DA35A0">
        <w:trPr>
          <w:trHeight w:val="360"/>
        </w:trPr>
        <w:tc>
          <w:tcPr>
            <w:tcW w:w="0" w:type="auto"/>
            <w:tcBorders>
              <w:top w:val="nil"/>
              <w:left w:val="single" w:sz="4" w:space="0" w:color="auto"/>
              <w:bottom w:val="single" w:sz="4" w:space="0" w:color="auto"/>
              <w:right w:val="single" w:sz="4" w:space="0" w:color="auto"/>
            </w:tcBorders>
            <w:vAlign w:val="center"/>
            <w:hideMark/>
          </w:tcPr>
          <w:p w14:paraId="108F44E0" w14:textId="77777777" w:rsidR="00F7478D" w:rsidRPr="00DA35A0" w:rsidRDefault="00F7478D" w:rsidP="00801D97">
            <w:pPr>
              <w:spacing w:after="0" w:line="240" w:lineRule="auto"/>
              <w:jc w:val="both"/>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Coal</w:t>
            </w:r>
          </w:p>
        </w:tc>
        <w:tc>
          <w:tcPr>
            <w:tcW w:w="0" w:type="auto"/>
            <w:tcBorders>
              <w:top w:val="nil"/>
              <w:left w:val="nil"/>
              <w:bottom w:val="single" w:sz="4" w:space="0" w:color="auto"/>
              <w:right w:val="single" w:sz="4" w:space="0" w:color="auto"/>
            </w:tcBorders>
            <w:vAlign w:val="center"/>
            <w:hideMark/>
          </w:tcPr>
          <w:p w14:paraId="63520D4E"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kern w:val="0"/>
                <w:lang w:eastAsia="en-GB"/>
                <w14:ligatures w14:val="none"/>
              </w:rPr>
              <w:t>267,116</w:t>
            </w:r>
          </w:p>
        </w:tc>
        <w:tc>
          <w:tcPr>
            <w:tcW w:w="0" w:type="auto"/>
            <w:tcBorders>
              <w:top w:val="nil"/>
              <w:left w:val="nil"/>
              <w:bottom w:val="single" w:sz="4" w:space="0" w:color="auto"/>
              <w:right w:val="single" w:sz="4" w:space="0" w:color="auto"/>
            </w:tcBorders>
            <w:vAlign w:val="center"/>
            <w:hideMark/>
          </w:tcPr>
          <w:p w14:paraId="5DD5518F"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247,160</w:t>
            </w:r>
          </w:p>
        </w:tc>
        <w:tc>
          <w:tcPr>
            <w:tcW w:w="0" w:type="auto"/>
            <w:tcBorders>
              <w:top w:val="nil"/>
              <w:left w:val="nil"/>
              <w:bottom w:val="single" w:sz="4" w:space="0" w:color="auto"/>
              <w:right w:val="single" w:sz="4" w:space="0" w:color="auto"/>
            </w:tcBorders>
            <w:vAlign w:val="center"/>
            <w:hideMark/>
          </w:tcPr>
          <w:p w14:paraId="5BA6CE30"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247,154</w:t>
            </w:r>
          </w:p>
        </w:tc>
        <w:tc>
          <w:tcPr>
            <w:tcW w:w="0" w:type="auto"/>
            <w:tcBorders>
              <w:top w:val="nil"/>
              <w:left w:val="nil"/>
              <w:bottom w:val="single" w:sz="4" w:space="0" w:color="auto"/>
              <w:right w:val="single" w:sz="4" w:space="0" w:color="auto"/>
            </w:tcBorders>
            <w:vAlign w:val="center"/>
            <w:hideMark/>
          </w:tcPr>
          <w:p w14:paraId="2940EF37"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 xml:space="preserve">        -   </w:t>
            </w:r>
          </w:p>
        </w:tc>
        <w:tc>
          <w:tcPr>
            <w:tcW w:w="0" w:type="auto"/>
            <w:tcBorders>
              <w:top w:val="nil"/>
              <w:left w:val="nil"/>
              <w:bottom w:val="single" w:sz="4" w:space="0" w:color="auto"/>
              <w:right w:val="single" w:sz="4" w:space="0" w:color="auto"/>
            </w:tcBorders>
            <w:vAlign w:val="center"/>
            <w:hideMark/>
          </w:tcPr>
          <w:p w14:paraId="3B25DA69"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 xml:space="preserve">        -   </w:t>
            </w:r>
          </w:p>
        </w:tc>
        <w:tc>
          <w:tcPr>
            <w:tcW w:w="0" w:type="auto"/>
            <w:tcBorders>
              <w:top w:val="nil"/>
              <w:left w:val="nil"/>
              <w:bottom w:val="single" w:sz="4" w:space="0" w:color="auto"/>
              <w:right w:val="single" w:sz="4" w:space="0" w:color="auto"/>
            </w:tcBorders>
            <w:vAlign w:val="center"/>
            <w:hideMark/>
          </w:tcPr>
          <w:p w14:paraId="3638C849" w14:textId="77777777" w:rsidR="00F7478D" w:rsidRPr="00DA35A0" w:rsidRDefault="00F7478D" w:rsidP="00801D97">
            <w:pPr>
              <w:spacing w:after="0" w:line="240" w:lineRule="auto"/>
              <w:jc w:val="center"/>
              <w:rPr>
                <w:rFonts w:eastAsia="Times New Roman" w:cs="Times New Roman"/>
                <w:color w:val="44546A"/>
                <w:kern w:val="0"/>
                <w:lang w:eastAsia="en-GB"/>
                <w14:ligatures w14:val="none"/>
              </w:rPr>
            </w:pPr>
            <w:r w:rsidRPr="00DA35A0">
              <w:rPr>
                <w:rFonts w:eastAsia="Times New Roman" w:cs="Times New Roman"/>
                <w:color w:val="44546A" w:themeColor="text2"/>
                <w:kern w:val="0"/>
                <w:lang w:eastAsia="en-GB"/>
                <w14:ligatures w14:val="none"/>
              </w:rPr>
              <w:t xml:space="preserve">        -   </w:t>
            </w:r>
          </w:p>
        </w:tc>
        <w:tc>
          <w:tcPr>
            <w:tcW w:w="0" w:type="auto"/>
            <w:tcBorders>
              <w:top w:val="nil"/>
              <w:left w:val="nil"/>
              <w:bottom w:val="single" w:sz="4" w:space="0" w:color="auto"/>
              <w:right w:val="single" w:sz="4" w:space="0" w:color="auto"/>
            </w:tcBorders>
            <w:vAlign w:val="center"/>
            <w:hideMark/>
          </w:tcPr>
          <w:p w14:paraId="3B685FB4"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kern w:val="0"/>
                <w:lang w:eastAsia="en-GB"/>
                <w14:ligatures w14:val="none"/>
              </w:rPr>
              <w:t>267,116</w:t>
            </w:r>
          </w:p>
        </w:tc>
        <w:tc>
          <w:tcPr>
            <w:tcW w:w="0" w:type="auto"/>
            <w:tcBorders>
              <w:top w:val="nil"/>
              <w:left w:val="nil"/>
              <w:bottom w:val="single" w:sz="4" w:space="0" w:color="auto"/>
              <w:right w:val="single" w:sz="4" w:space="0" w:color="auto"/>
            </w:tcBorders>
            <w:vAlign w:val="center"/>
            <w:hideMark/>
          </w:tcPr>
          <w:p w14:paraId="2E2C454C"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247,160</w:t>
            </w:r>
          </w:p>
        </w:tc>
        <w:tc>
          <w:tcPr>
            <w:tcW w:w="0" w:type="auto"/>
            <w:tcBorders>
              <w:top w:val="nil"/>
              <w:left w:val="nil"/>
              <w:bottom w:val="single" w:sz="4" w:space="0" w:color="auto"/>
              <w:right w:val="single" w:sz="4" w:space="0" w:color="auto"/>
            </w:tcBorders>
            <w:vAlign w:val="center"/>
            <w:hideMark/>
          </w:tcPr>
          <w:p w14:paraId="736B4455" w14:textId="77777777" w:rsidR="00F7478D" w:rsidRPr="00DA35A0" w:rsidRDefault="00F7478D" w:rsidP="00801D97">
            <w:pPr>
              <w:spacing w:after="0" w:line="240" w:lineRule="auto"/>
              <w:jc w:val="center"/>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247,154</w:t>
            </w:r>
          </w:p>
        </w:tc>
      </w:tr>
      <w:tr w:rsidR="007D08BE" w:rsidRPr="000C0924" w14:paraId="4F072093" w14:textId="77777777" w:rsidTr="00DA35A0">
        <w:trPr>
          <w:trHeight w:val="360"/>
        </w:trPr>
        <w:tc>
          <w:tcPr>
            <w:tcW w:w="0" w:type="auto"/>
            <w:tcBorders>
              <w:top w:val="nil"/>
              <w:left w:val="single" w:sz="4" w:space="0" w:color="auto"/>
              <w:bottom w:val="single" w:sz="4" w:space="0" w:color="auto"/>
              <w:right w:val="single" w:sz="4" w:space="0" w:color="auto"/>
            </w:tcBorders>
            <w:vAlign w:val="center"/>
            <w:hideMark/>
          </w:tcPr>
          <w:p w14:paraId="4DAB3500" w14:textId="77777777" w:rsidR="00F7478D" w:rsidRPr="00DA35A0" w:rsidRDefault="00F7478D" w:rsidP="00801D97">
            <w:pPr>
              <w:spacing w:after="0" w:line="240" w:lineRule="auto"/>
              <w:jc w:val="both"/>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Total</w:t>
            </w:r>
          </w:p>
        </w:tc>
        <w:tc>
          <w:tcPr>
            <w:tcW w:w="0" w:type="auto"/>
            <w:tcBorders>
              <w:top w:val="nil"/>
              <w:left w:val="nil"/>
              <w:bottom w:val="single" w:sz="4" w:space="0" w:color="auto"/>
              <w:right w:val="single" w:sz="4" w:space="0" w:color="auto"/>
            </w:tcBorders>
            <w:vAlign w:val="center"/>
            <w:hideMark/>
          </w:tcPr>
          <w:p w14:paraId="3C1D306B" w14:textId="77777777" w:rsidR="00F7478D" w:rsidRPr="00DA35A0" w:rsidRDefault="00F7478D" w:rsidP="00801D97">
            <w:pPr>
              <w:spacing w:after="0" w:line="240" w:lineRule="auto"/>
              <w:rPr>
                <w:rFonts w:eastAsia="Times New Roman" w:cs="Times New Roman"/>
                <w:b/>
                <w:color w:val="44546A"/>
                <w:kern w:val="0"/>
                <w:lang w:eastAsia="en-GB"/>
                <w14:ligatures w14:val="none"/>
              </w:rPr>
            </w:pPr>
            <w:r w:rsidRPr="00DA35A0">
              <w:rPr>
                <w:rFonts w:eastAsia="Times New Roman" w:cs="Times New Roman"/>
                <w:b/>
                <w:color w:val="44546A"/>
                <w:kern w:val="0"/>
                <w:lang w:eastAsia="en-GB"/>
                <w14:ligatures w14:val="none"/>
              </w:rPr>
              <w:t>278,912</w:t>
            </w:r>
          </w:p>
        </w:tc>
        <w:tc>
          <w:tcPr>
            <w:tcW w:w="0" w:type="auto"/>
            <w:tcBorders>
              <w:top w:val="nil"/>
              <w:left w:val="nil"/>
              <w:bottom w:val="single" w:sz="4" w:space="0" w:color="auto"/>
              <w:right w:val="single" w:sz="4" w:space="0" w:color="auto"/>
            </w:tcBorders>
            <w:vAlign w:val="center"/>
            <w:hideMark/>
          </w:tcPr>
          <w:p w14:paraId="46D75688" w14:textId="77777777" w:rsidR="00F7478D" w:rsidRPr="00DA35A0" w:rsidRDefault="00F7478D" w:rsidP="00801D97">
            <w:pPr>
              <w:spacing w:after="0" w:line="240" w:lineRule="auto"/>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261,481</w:t>
            </w:r>
          </w:p>
        </w:tc>
        <w:tc>
          <w:tcPr>
            <w:tcW w:w="0" w:type="auto"/>
            <w:tcBorders>
              <w:top w:val="nil"/>
              <w:left w:val="nil"/>
              <w:bottom w:val="single" w:sz="4" w:space="0" w:color="auto"/>
              <w:right w:val="single" w:sz="4" w:space="0" w:color="auto"/>
            </w:tcBorders>
            <w:vAlign w:val="center"/>
            <w:hideMark/>
          </w:tcPr>
          <w:p w14:paraId="4E1F7B31" w14:textId="77777777" w:rsidR="00F7478D" w:rsidRPr="00DA35A0" w:rsidRDefault="00F7478D" w:rsidP="00801D97">
            <w:pPr>
              <w:spacing w:after="0" w:line="240" w:lineRule="auto"/>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260,658</w:t>
            </w:r>
          </w:p>
        </w:tc>
        <w:tc>
          <w:tcPr>
            <w:tcW w:w="0" w:type="auto"/>
            <w:tcBorders>
              <w:top w:val="nil"/>
              <w:left w:val="nil"/>
              <w:bottom w:val="single" w:sz="4" w:space="0" w:color="auto"/>
              <w:right w:val="single" w:sz="4" w:space="0" w:color="auto"/>
            </w:tcBorders>
            <w:vAlign w:val="center"/>
            <w:hideMark/>
          </w:tcPr>
          <w:p w14:paraId="28C5F433" w14:textId="77777777" w:rsidR="00F7478D" w:rsidRPr="00DA35A0" w:rsidRDefault="00F7478D" w:rsidP="00801D97">
            <w:pPr>
              <w:spacing w:after="0" w:line="240" w:lineRule="auto"/>
              <w:rPr>
                <w:rFonts w:eastAsia="Times New Roman" w:cs="Times New Roman"/>
                <w:b/>
                <w:color w:val="44546A"/>
                <w:kern w:val="0"/>
                <w:lang w:eastAsia="en-GB"/>
                <w14:ligatures w14:val="none"/>
              </w:rPr>
            </w:pPr>
            <w:r w:rsidRPr="00DA35A0">
              <w:rPr>
                <w:rFonts w:eastAsia="Times New Roman" w:cs="Times New Roman"/>
                <w:b/>
                <w:color w:val="44546A"/>
                <w:kern w:val="0"/>
                <w:lang w:eastAsia="en-GB"/>
                <w14:ligatures w14:val="none"/>
              </w:rPr>
              <w:t>51,271</w:t>
            </w:r>
          </w:p>
        </w:tc>
        <w:tc>
          <w:tcPr>
            <w:tcW w:w="0" w:type="auto"/>
            <w:tcBorders>
              <w:top w:val="nil"/>
              <w:left w:val="nil"/>
              <w:bottom w:val="single" w:sz="4" w:space="0" w:color="auto"/>
              <w:right w:val="single" w:sz="4" w:space="0" w:color="auto"/>
            </w:tcBorders>
            <w:vAlign w:val="center"/>
            <w:hideMark/>
          </w:tcPr>
          <w:p w14:paraId="4D36037F" w14:textId="77777777" w:rsidR="00F7478D" w:rsidRPr="00DA35A0" w:rsidRDefault="00F7478D" w:rsidP="00801D97">
            <w:pPr>
              <w:spacing w:after="0" w:line="240" w:lineRule="auto"/>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44,905</w:t>
            </w:r>
          </w:p>
        </w:tc>
        <w:tc>
          <w:tcPr>
            <w:tcW w:w="0" w:type="auto"/>
            <w:tcBorders>
              <w:top w:val="nil"/>
              <w:left w:val="nil"/>
              <w:bottom w:val="single" w:sz="4" w:space="0" w:color="auto"/>
              <w:right w:val="single" w:sz="4" w:space="0" w:color="auto"/>
            </w:tcBorders>
            <w:vAlign w:val="center"/>
            <w:hideMark/>
          </w:tcPr>
          <w:p w14:paraId="2C30F71B" w14:textId="77777777" w:rsidR="00F7478D" w:rsidRPr="00DA35A0" w:rsidRDefault="00F7478D" w:rsidP="00801D97">
            <w:pPr>
              <w:spacing w:after="0" w:line="240" w:lineRule="auto"/>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42,287</w:t>
            </w:r>
          </w:p>
        </w:tc>
        <w:tc>
          <w:tcPr>
            <w:tcW w:w="0" w:type="auto"/>
            <w:tcBorders>
              <w:top w:val="nil"/>
              <w:left w:val="nil"/>
              <w:bottom w:val="single" w:sz="4" w:space="0" w:color="auto"/>
              <w:right w:val="single" w:sz="4" w:space="0" w:color="auto"/>
            </w:tcBorders>
            <w:vAlign w:val="center"/>
            <w:hideMark/>
          </w:tcPr>
          <w:p w14:paraId="6D8483B9" w14:textId="77777777" w:rsidR="00F7478D" w:rsidRPr="00DA35A0" w:rsidRDefault="00F7478D" w:rsidP="00801D97">
            <w:pPr>
              <w:spacing w:after="0" w:line="240" w:lineRule="auto"/>
              <w:rPr>
                <w:rFonts w:eastAsia="Times New Roman" w:cs="Times New Roman"/>
                <w:b/>
                <w:color w:val="44546A"/>
                <w:kern w:val="0"/>
                <w:lang w:eastAsia="en-GB"/>
                <w14:ligatures w14:val="none"/>
              </w:rPr>
            </w:pPr>
            <w:r w:rsidRPr="00DA35A0">
              <w:rPr>
                <w:rFonts w:eastAsia="Times New Roman" w:cs="Times New Roman"/>
                <w:b/>
                <w:color w:val="44546A"/>
                <w:kern w:val="0"/>
                <w:lang w:eastAsia="en-GB"/>
                <w14:ligatures w14:val="none"/>
              </w:rPr>
              <w:t>330,183</w:t>
            </w:r>
          </w:p>
        </w:tc>
        <w:tc>
          <w:tcPr>
            <w:tcW w:w="0" w:type="auto"/>
            <w:tcBorders>
              <w:top w:val="nil"/>
              <w:left w:val="nil"/>
              <w:bottom w:val="single" w:sz="4" w:space="0" w:color="auto"/>
              <w:right w:val="single" w:sz="4" w:space="0" w:color="auto"/>
            </w:tcBorders>
            <w:vAlign w:val="center"/>
            <w:hideMark/>
          </w:tcPr>
          <w:p w14:paraId="0FBE43E6" w14:textId="77777777" w:rsidR="00F7478D" w:rsidRPr="00DA35A0" w:rsidRDefault="00F7478D" w:rsidP="00801D97">
            <w:pPr>
              <w:spacing w:after="0" w:line="240" w:lineRule="auto"/>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306,386</w:t>
            </w:r>
          </w:p>
        </w:tc>
        <w:tc>
          <w:tcPr>
            <w:tcW w:w="0" w:type="auto"/>
            <w:tcBorders>
              <w:top w:val="nil"/>
              <w:left w:val="nil"/>
              <w:bottom w:val="single" w:sz="4" w:space="0" w:color="auto"/>
              <w:right w:val="single" w:sz="4" w:space="0" w:color="auto"/>
            </w:tcBorders>
            <w:vAlign w:val="center"/>
            <w:hideMark/>
          </w:tcPr>
          <w:p w14:paraId="113F936B" w14:textId="77777777" w:rsidR="00F7478D" w:rsidRPr="00DA35A0" w:rsidRDefault="00F7478D" w:rsidP="00801D97">
            <w:pPr>
              <w:spacing w:after="0" w:line="240" w:lineRule="auto"/>
              <w:rPr>
                <w:rFonts w:eastAsia="Times New Roman" w:cs="Times New Roman"/>
                <w:b/>
                <w:color w:val="44546A"/>
                <w:kern w:val="0"/>
                <w:lang w:eastAsia="en-GB"/>
                <w14:ligatures w14:val="none"/>
              </w:rPr>
            </w:pPr>
            <w:r w:rsidRPr="00DA35A0">
              <w:rPr>
                <w:rFonts w:eastAsia="Times New Roman" w:cs="Times New Roman"/>
                <w:b/>
                <w:color w:val="44546A" w:themeColor="text2"/>
                <w:kern w:val="0"/>
                <w:lang w:eastAsia="en-GB"/>
                <w14:ligatures w14:val="none"/>
              </w:rPr>
              <w:t>302,945</w:t>
            </w:r>
          </w:p>
        </w:tc>
      </w:tr>
    </w:tbl>
    <w:p w14:paraId="22B45232" w14:textId="77777777" w:rsidR="00062D87" w:rsidRPr="00E018A5" w:rsidRDefault="00062D87" w:rsidP="00DA35A0"/>
    <w:p w14:paraId="1730B7A0" w14:textId="1A458A21" w:rsidR="00F7478D" w:rsidRPr="00DA35A0" w:rsidRDefault="00CB1991" w:rsidP="00DA35A0">
      <w:pPr>
        <w:pStyle w:val="Heading2"/>
        <w:rPr>
          <w:b w:val="0"/>
        </w:rPr>
      </w:pPr>
      <w:bookmarkStart w:id="40" w:name="_Toc194670389"/>
      <w:r>
        <w:t>Table</w:t>
      </w:r>
      <w:r w:rsidR="00F7478D" w:rsidRPr="001637D7">
        <w:t xml:space="preserve"> </w:t>
      </w:r>
      <w:r>
        <w:t>3.</w:t>
      </w:r>
      <w:r w:rsidR="00AE654E">
        <w:t>2</w:t>
      </w:r>
      <w:r>
        <w:t xml:space="preserve"> </w:t>
      </w:r>
      <w:r w:rsidR="003F2B93">
        <w:t xml:space="preserve">– Sources of </w:t>
      </w:r>
      <w:r w:rsidR="00372E7A">
        <w:t xml:space="preserve">Scope 2 </w:t>
      </w:r>
      <w:r w:rsidR="00321A9D">
        <w:t>emissions</w:t>
      </w:r>
      <w:r w:rsidR="00C46B53">
        <w:rPr>
          <w:rStyle w:val="FootnoteReference"/>
        </w:rPr>
        <w:footnoteReference w:id="49"/>
      </w:r>
      <w:bookmarkEnd w:id="40"/>
      <w:r>
        <w:t xml:space="preserve"> </w:t>
      </w:r>
    </w:p>
    <w:tbl>
      <w:tblPr>
        <w:tblW w:w="13728" w:type="dxa"/>
        <w:tblLayout w:type="fixed"/>
        <w:tblLook w:val="04A0" w:firstRow="1" w:lastRow="0" w:firstColumn="1" w:lastColumn="0" w:noHBand="0" w:noVBand="1"/>
      </w:tblPr>
      <w:tblGrid>
        <w:gridCol w:w="1431"/>
        <w:gridCol w:w="1366"/>
        <w:gridCol w:w="1366"/>
        <w:gridCol w:w="1367"/>
        <w:gridCol w:w="1366"/>
        <w:gridCol w:w="1366"/>
        <w:gridCol w:w="1367"/>
        <w:gridCol w:w="1401"/>
        <w:gridCol w:w="1331"/>
        <w:gridCol w:w="1367"/>
      </w:tblGrid>
      <w:tr w:rsidR="00B33A97" w:rsidRPr="001A48C0" w14:paraId="5B5D3480" w14:textId="77777777" w:rsidTr="00DA35A0">
        <w:trPr>
          <w:trHeight w:val="417"/>
        </w:trPr>
        <w:tc>
          <w:tcPr>
            <w:tcW w:w="1431" w:type="dxa"/>
            <w:tcBorders>
              <w:top w:val="single" w:sz="8" w:space="0" w:color="auto"/>
              <w:left w:val="single" w:sz="8" w:space="0" w:color="auto"/>
              <w:bottom w:val="single" w:sz="8" w:space="0" w:color="auto"/>
              <w:right w:val="single" w:sz="8" w:space="0" w:color="auto"/>
            </w:tcBorders>
            <w:shd w:val="clear" w:color="000000" w:fill="3E5C60"/>
            <w:vAlign w:val="center"/>
            <w:hideMark/>
          </w:tcPr>
          <w:p w14:paraId="4301350A" w14:textId="77777777" w:rsidR="00F7478D" w:rsidRPr="00F60642" w:rsidRDefault="00F7478D" w:rsidP="00801D97">
            <w:pPr>
              <w:spacing w:after="0" w:line="240" w:lineRule="auto"/>
              <w:jc w:val="both"/>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 </w:t>
            </w:r>
          </w:p>
        </w:tc>
        <w:tc>
          <w:tcPr>
            <w:tcW w:w="4099" w:type="dxa"/>
            <w:gridSpan w:val="3"/>
            <w:tcBorders>
              <w:top w:val="single" w:sz="8" w:space="0" w:color="auto"/>
              <w:left w:val="nil"/>
              <w:bottom w:val="single" w:sz="8" w:space="0" w:color="auto"/>
              <w:right w:val="single" w:sz="8" w:space="0" w:color="000000"/>
            </w:tcBorders>
            <w:shd w:val="clear" w:color="000000" w:fill="3E5C60"/>
            <w:vAlign w:val="center"/>
            <w:hideMark/>
          </w:tcPr>
          <w:p w14:paraId="205C9827"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Kounrad</w:t>
            </w:r>
          </w:p>
        </w:tc>
        <w:tc>
          <w:tcPr>
            <w:tcW w:w="4099" w:type="dxa"/>
            <w:gridSpan w:val="3"/>
            <w:tcBorders>
              <w:top w:val="single" w:sz="8" w:space="0" w:color="auto"/>
              <w:left w:val="nil"/>
              <w:bottom w:val="single" w:sz="8" w:space="0" w:color="auto"/>
              <w:right w:val="single" w:sz="8" w:space="0" w:color="000000"/>
            </w:tcBorders>
            <w:shd w:val="clear" w:color="000000" w:fill="3E5C60"/>
            <w:vAlign w:val="center"/>
            <w:hideMark/>
          </w:tcPr>
          <w:p w14:paraId="1B45C9A4"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kern w:val="0"/>
                <w:sz w:val="20"/>
                <w:szCs w:val="20"/>
                <w:lang w:eastAsia="en-GB"/>
                <w14:ligatures w14:val="none"/>
              </w:rPr>
              <w:t>Sasa</w:t>
            </w:r>
          </w:p>
        </w:tc>
        <w:tc>
          <w:tcPr>
            <w:tcW w:w="4099" w:type="dxa"/>
            <w:gridSpan w:val="3"/>
            <w:tcBorders>
              <w:top w:val="single" w:sz="8" w:space="0" w:color="auto"/>
              <w:left w:val="nil"/>
              <w:bottom w:val="single" w:sz="8" w:space="0" w:color="auto"/>
              <w:right w:val="single" w:sz="8" w:space="0" w:color="000000"/>
            </w:tcBorders>
            <w:shd w:val="clear" w:color="000000" w:fill="3E5C60"/>
            <w:vAlign w:val="center"/>
            <w:hideMark/>
          </w:tcPr>
          <w:p w14:paraId="5F555844"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Total</w:t>
            </w:r>
          </w:p>
        </w:tc>
      </w:tr>
      <w:tr w:rsidR="00E508B9" w:rsidRPr="002C7A3C" w14:paraId="747EB8AD" w14:textId="77777777" w:rsidTr="00AA37FE">
        <w:trPr>
          <w:trHeight w:val="516"/>
        </w:trPr>
        <w:tc>
          <w:tcPr>
            <w:tcW w:w="1431" w:type="dxa"/>
            <w:tcBorders>
              <w:top w:val="nil"/>
              <w:left w:val="single" w:sz="8" w:space="0" w:color="auto"/>
              <w:bottom w:val="single" w:sz="8" w:space="0" w:color="auto"/>
              <w:right w:val="single" w:sz="8" w:space="0" w:color="auto"/>
            </w:tcBorders>
            <w:shd w:val="clear" w:color="000000" w:fill="3E5C60"/>
            <w:vAlign w:val="center"/>
            <w:hideMark/>
          </w:tcPr>
          <w:p w14:paraId="643B060B" w14:textId="77777777" w:rsidR="00F7478D" w:rsidRPr="00F60642" w:rsidRDefault="00F7478D" w:rsidP="00801D97">
            <w:pPr>
              <w:spacing w:after="0" w:line="240" w:lineRule="auto"/>
              <w:jc w:val="both"/>
              <w:rPr>
                <w:rFonts w:eastAsia="Times New Roman" w:cs="Times New Roman"/>
                <w:color w:val="FFFFFF"/>
                <w:kern w:val="0"/>
                <w:sz w:val="20"/>
                <w:szCs w:val="20"/>
                <w:lang w:eastAsia="en-GB"/>
                <w14:ligatures w14:val="none"/>
              </w:rPr>
            </w:pPr>
            <w:r w:rsidRPr="00F60642">
              <w:rPr>
                <w:rFonts w:eastAsia="Times New Roman" w:cs="Times New Roman"/>
                <w:color w:val="FFFFFF" w:themeColor="background1"/>
                <w:kern w:val="0"/>
                <w:sz w:val="20"/>
                <w:szCs w:val="20"/>
                <w:lang w:eastAsia="en-GB"/>
                <w14:ligatures w14:val="none"/>
              </w:rPr>
              <w:t> </w:t>
            </w:r>
          </w:p>
        </w:tc>
        <w:tc>
          <w:tcPr>
            <w:tcW w:w="1366" w:type="dxa"/>
            <w:tcBorders>
              <w:top w:val="nil"/>
              <w:left w:val="nil"/>
              <w:bottom w:val="single" w:sz="8" w:space="0" w:color="auto"/>
              <w:right w:val="single" w:sz="8" w:space="0" w:color="auto"/>
            </w:tcBorders>
            <w:shd w:val="clear" w:color="000000" w:fill="3E5C60"/>
            <w:vAlign w:val="center"/>
            <w:hideMark/>
          </w:tcPr>
          <w:p w14:paraId="4763B8ED"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kern w:val="0"/>
                <w:sz w:val="20"/>
                <w:szCs w:val="20"/>
                <w:lang w:eastAsia="en-GB"/>
                <w14:ligatures w14:val="none"/>
              </w:rPr>
              <w:t>2024</w:t>
            </w:r>
          </w:p>
        </w:tc>
        <w:tc>
          <w:tcPr>
            <w:tcW w:w="1366" w:type="dxa"/>
            <w:tcBorders>
              <w:top w:val="nil"/>
              <w:left w:val="nil"/>
              <w:bottom w:val="single" w:sz="8" w:space="0" w:color="auto"/>
              <w:right w:val="single" w:sz="8" w:space="0" w:color="auto"/>
            </w:tcBorders>
            <w:shd w:val="clear" w:color="000000" w:fill="3E5C60"/>
            <w:vAlign w:val="center"/>
            <w:hideMark/>
          </w:tcPr>
          <w:p w14:paraId="57BA2946"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2023</w:t>
            </w:r>
          </w:p>
        </w:tc>
        <w:tc>
          <w:tcPr>
            <w:tcW w:w="1367" w:type="dxa"/>
            <w:tcBorders>
              <w:top w:val="nil"/>
              <w:left w:val="nil"/>
              <w:bottom w:val="single" w:sz="8" w:space="0" w:color="auto"/>
              <w:right w:val="single" w:sz="8" w:space="0" w:color="auto"/>
            </w:tcBorders>
            <w:shd w:val="clear" w:color="000000" w:fill="3E5C60"/>
            <w:vAlign w:val="center"/>
            <w:hideMark/>
          </w:tcPr>
          <w:p w14:paraId="1BCE3FB8"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2022</w:t>
            </w:r>
          </w:p>
        </w:tc>
        <w:tc>
          <w:tcPr>
            <w:tcW w:w="1366" w:type="dxa"/>
            <w:tcBorders>
              <w:top w:val="nil"/>
              <w:left w:val="nil"/>
              <w:bottom w:val="single" w:sz="8" w:space="0" w:color="auto"/>
              <w:right w:val="single" w:sz="8" w:space="0" w:color="auto"/>
            </w:tcBorders>
            <w:shd w:val="clear" w:color="000000" w:fill="3E5C60"/>
            <w:vAlign w:val="center"/>
            <w:hideMark/>
          </w:tcPr>
          <w:p w14:paraId="526F2ECA"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kern w:val="0"/>
                <w:sz w:val="20"/>
                <w:szCs w:val="20"/>
                <w:lang w:eastAsia="en-GB"/>
                <w14:ligatures w14:val="none"/>
              </w:rPr>
              <w:t>2024</w:t>
            </w:r>
          </w:p>
        </w:tc>
        <w:tc>
          <w:tcPr>
            <w:tcW w:w="1366" w:type="dxa"/>
            <w:tcBorders>
              <w:top w:val="nil"/>
              <w:left w:val="nil"/>
              <w:bottom w:val="single" w:sz="8" w:space="0" w:color="auto"/>
              <w:right w:val="single" w:sz="8" w:space="0" w:color="auto"/>
            </w:tcBorders>
            <w:shd w:val="clear" w:color="000000" w:fill="3E5C60"/>
            <w:vAlign w:val="center"/>
            <w:hideMark/>
          </w:tcPr>
          <w:p w14:paraId="0E62D706"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2023</w:t>
            </w:r>
          </w:p>
        </w:tc>
        <w:tc>
          <w:tcPr>
            <w:tcW w:w="1367" w:type="dxa"/>
            <w:tcBorders>
              <w:top w:val="nil"/>
              <w:left w:val="nil"/>
              <w:bottom w:val="single" w:sz="8" w:space="0" w:color="auto"/>
              <w:right w:val="single" w:sz="8" w:space="0" w:color="auto"/>
            </w:tcBorders>
            <w:shd w:val="clear" w:color="000000" w:fill="3E5C60"/>
            <w:vAlign w:val="center"/>
            <w:hideMark/>
          </w:tcPr>
          <w:p w14:paraId="00DFBA47"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2022</w:t>
            </w:r>
          </w:p>
        </w:tc>
        <w:tc>
          <w:tcPr>
            <w:tcW w:w="1401" w:type="dxa"/>
            <w:tcBorders>
              <w:top w:val="nil"/>
              <w:left w:val="nil"/>
              <w:bottom w:val="single" w:sz="8" w:space="0" w:color="auto"/>
              <w:right w:val="single" w:sz="8" w:space="0" w:color="auto"/>
            </w:tcBorders>
            <w:shd w:val="clear" w:color="000000" w:fill="3E5C60"/>
            <w:vAlign w:val="center"/>
            <w:hideMark/>
          </w:tcPr>
          <w:p w14:paraId="21F9F901"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kern w:val="0"/>
                <w:sz w:val="20"/>
                <w:szCs w:val="20"/>
                <w:lang w:eastAsia="en-GB"/>
                <w14:ligatures w14:val="none"/>
              </w:rPr>
              <w:t>2024</w:t>
            </w:r>
          </w:p>
        </w:tc>
        <w:tc>
          <w:tcPr>
            <w:tcW w:w="1331" w:type="dxa"/>
            <w:tcBorders>
              <w:top w:val="nil"/>
              <w:left w:val="nil"/>
              <w:bottom w:val="single" w:sz="8" w:space="0" w:color="auto"/>
              <w:right w:val="single" w:sz="8" w:space="0" w:color="auto"/>
            </w:tcBorders>
            <w:shd w:val="clear" w:color="000000" w:fill="3E5C60"/>
            <w:vAlign w:val="center"/>
            <w:hideMark/>
          </w:tcPr>
          <w:p w14:paraId="0DD27296"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2023</w:t>
            </w:r>
          </w:p>
        </w:tc>
        <w:tc>
          <w:tcPr>
            <w:tcW w:w="1367" w:type="dxa"/>
            <w:tcBorders>
              <w:top w:val="nil"/>
              <w:left w:val="nil"/>
              <w:bottom w:val="single" w:sz="8" w:space="0" w:color="auto"/>
              <w:right w:val="single" w:sz="8" w:space="0" w:color="auto"/>
            </w:tcBorders>
            <w:shd w:val="clear" w:color="000000" w:fill="3E5C60"/>
            <w:vAlign w:val="center"/>
            <w:hideMark/>
          </w:tcPr>
          <w:p w14:paraId="5D828D97"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2022</w:t>
            </w:r>
          </w:p>
        </w:tc>
      </w:tr>
      <w:tr w:rsidR="00E508B9" w:rsidRPr="002C7A3C" w14:paraId="3E6ACE47" w14:textId="77777777" w:rsidTr="00AA37FE">
        <w:trPr>
          <w:trHeight w:val="191"/>
        </w:trPr>
        <w:tc>
          <w:tcPr>
            <w:tcW w:w="1431" w:type="dxa"/>
            <w:tcBorders>
              <w:top w:val="nil"/>
              <w:left w:val="single" w:sz="8" w:space="0" w:color="auto"/>
              <w:bottom w:val="single" w:sz="8" w:space="0" w:color="auto"/>
              <w:right w:val="single" w:sz="8" w:space="0" w:color="auto"/>
            </w:tcBorders>
            <w:shd w:val="clear" w:color="000000" w:fill="3E5C60"/>
            <w:vAlign w:val="center"/>
            <w:hideMark/>
          </w:tcPr>
          <w:p w14:paraId="3C7FACB3" w14:textId="77777777" w:rsidR="00F7478D" w:rsidRPr="00F60642" w:rsidRDefault="00F7478D" w:rsidP="00801D97">
            <w:pPr>
              <w:spacing w:after="0" w:line="240" w:lineRule="auto"/>
              <w:jc w:val="both"/>
              <w:rPr>
                <w:rFonts w:eastAsia="Times New Roman" w:cs="Times New Roman"/>
                <w:color w:val="FFFFFF"/>
                <w:kern w:val="0"/>
                <w:sz w:val="20"/>
                <w:szCs w:val="20"/>
                <w:lang w:eastAsia="en-GB"/>
                <w14:ligatures w14:val="none"/>
              </w:rPr>
            </w:pPr>
            <w:r w:rsidRPr="00F60642">
              <w:rPr>
                <w:rFonts w:eastAsia="Times New Roman" w:cs="Times New Roman"/>
                <w:color w:val="FFFFFF" w:themeColor="background1"/>
                <w:kern w:val="0"/>
                <w:sz w:val="20"/>
                <w:szCs w:val="20"/>
                <w:lang w:eastAsia="en-GB"/>
                <w14:ligatures w14:val="none"/>
              </w:rPr>
              <w:t> </w:t>
            </w:r>
          </w:p>
        </w:tc>
        <w:tc>
          <w:tcPr>
            <w:tcW w:w="1366" w:type="dxa"/>
            <w:tcBorders>
              <w:top w:val="nil"/>
              <w:left w:val="nil"/>
              <w:bottom w:val="single" w:sz="8" w:space="0" w:color="auto"/>
              <w:right w:val="single" w:sz="8" w:space="0" w:color="auto"/>
            </w:tcBorders>
            <w:shd w:val="clear" w:color="000000" w:fill="3E5C60"/>
            <w:vAlign w:val="center"/>
            <w:hideMark/>
          </w:tcPr>
          <w:p w14:paraId="09111F94"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kern w:val="0"/>
                <w:sz w:val="20"/>
                <w:szCs w:val="20"/>
                <w:lang w:eastAsia="en-GB"/>
                <w14:ligatures w14:val="none"/>
              </w:rPr>
              <w:t>GJ</w:t>
            </w:r>
          </w:p>
        </w:tc>
        <w:tc>
          <w:tcPr>
            <w:tcW w:w="1366" w:type="dxa"/>
            <w:tcBorders>
              <w:top w:val="nil"/>
              <w:left w:val="nil"/>
              <w:bottom w:val="single" w:sz="8" w:space="0" w:color="auto"/>
              <w:right w:val="single" w:sz="8" w:space="0" w:color="auto"/>
            </w:tcBorders>
            <w:shd w:val="clear" w:color="000000" w:fill="3E5C60"/>
            <w:vAlign w:val="center"/>
            <w:hideMark/>
          </w:tcPr>
          <w:p w14:paraId="70F52E5B"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GJ</w:t>
            </w:r>
          </w:p>
        </w:tc>
        <w:tc>
          <w:tcPr>
            <w:tcW w:w="1367" w:type="dxa"/>
            <w:tcBorders>
              <w:top w:val="nil"/>
              <w:left w:val="nil"/>
              <w:bottom w:val="single" w:sz="8" w:space="0" w:color="auto"/>
              <w:right w:val="single" w:sz="8" w:space="0" w:color="auto"/>
            </w:tcBorders>
            <w:shd w:val="clear" w:color="000000" w:fill="3E5C60"/>
            <w:vAlign w:val="center"/>
            <w:hideMark/>
          </w:tcPr>
          <w:p w14:paraId="09003EBD"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GJ</w:t>
            </w:r>
          </w:p>
        </w:tc>
        <w:tc>
          <w:tcPr>
            <w:tcW w:w="1366" w:type="dxa"/>
            <w:tcBorders>
              <w:top w:val="nil"/>
              <w:left w:val="nil"/>
              <w:bottom w:val="single" w:sz="8" w:space="0" w:color="auto"/>
              <w:right w:val="single" w:sz="8" w:space="0" w:color="auto"/>
            </w:tcBorders>
            <w:shd w:val="clear" w:color="000000" w:fill="3E5C60"/>
            <w:vAlign w:val="center"/>
            <w:hideMark/>
          </w:tcPr>
          <w:p w14:paraId="69739EDE"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kern w:val="0"/>
                <w:sz w:val="20"/>
                <w:szCs w:val="20"/>
                <w:lang w:eastAsia="en-GB"/>
                <w14:ligatures w14:val="none"/>
              </w:rPr>
              <w:t>GJ</w:t>
            </w:r>
          </w:p>
        </w:tc>
        <w:tc>
          <w:tcPr>
            <w:tcW w:w="1366" w:type="dxa"/>
            <w:tcBorders>
              <w:top w:val="nil"/>
              <w:left w:val="nil"/>
              <w:bottom w:val="single" w:sz="8" w:space="0" w:color="auto"/>
              <w:right w:val="single" w:sz="8" w:space="0" w:color="auto"/>
            </w:tcBorders>
            <w:shd w:val="clear" w:color="000000" w:fill="3E5C60"/>
            <w:vAlign w:val="center"/>
            <w:hideMark/>
          </w:tcPr>
          <w:p w14:paraId="13A28C0F"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GJ</w:t>
            </w:r>
          </w:p>
        </w:tc>
        <w:tc>
          <w:tcPr>
            <w:tcW w:w="1367" w:type="dxa"/>
            <w:tcBorders>
              <w:top w:val="nil"/>
              <w:left w:val="nil"/>
              <w:bottom w:val="single" w:sz="8" w:space="0" w:color="auto"/>
              <w:right w:val="single" w:sz="8" w:space="0" w:color="auto"/>
            </w:tcBorders>
            <w:shd w:val="clear" w:color="000000" w:fill="3E5C60"/>
            <w:vAlign w:val="center"/>
            <w:hideMark/>
          </w:tcPr>
          <w:p w14:paraId="5DE3D405"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GJ</w:t>
            </w:r>
          </w:p>
        </w:tc>
        <w:tc>
          <w:tcPr>
            <w:tcW w:w="1401" w:type="dxa"/>
            <w:tcBorders>
              <w:top w:val="nil"/>
              <w:left w:val="nil"/>
              <w:bottom w:val="single" w:sz="8" w:space="0" w:color="auto"/>
              <w:right w:val="single" w:sz="8" w:space="0" w:color="auto"/>
            </w:tcBorders>
            <w:shd w:val="clear" w:color="000000" w:fill="3E5C60"/>
            <w:vAlign w:val="center"/>
            <w:hideMark/>
          </w:tcPr>
          <w:p w14:paraId="0849A2FB"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kern w:val="0"/>
                <w:sz w:val="20"/>
                <w:szCs w:val="20"/>
                <w:lang w:eastAsia="en-GB"/>
                <w14:ligatures w14:val="none"/>
              </w:rPr>
              <w:t>GJ</w:t>
            </w:r>
          </w:p>
        </w:tc>
        <w:tc>
          <w:tcPr>
            <w:tcW w:w="1331" w:type="dxa"/>
            <w:tcBorders>
              <w:top w:val="nil"/>
              <w:left w:val="nil"/>
              <w:bottom w:val="single" w:sz="8" w:space="0" w:color="auto"/>
              <w:right w:val="single" w:sz="8" w:space="0" w:color="auto"/>
            </w:tcBorders>
            <w:shd w:val="clear" w:color="000000" w:fill="3E5C60"/>
            <w:vAlign w:val="center"/>
            <w:hideMark/>
          </w:tcPr>
          <w:p w14:paraId="0BFE1E86"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GJ</w:t>
            </w:r>
          </w:p>
        </w:tc>
        <w:tc>
          <w:tcPr>
            <w:tcW w:w="1367" w:type="dxa"/>
            <w:tcBorders>
              <w:top w:val="nil"/>
              <w:left w:val="nil"/>
              <w:bottom w:val="single" w:sz="8" w:space="0" w:color="auto"/>
              <w:right w:val="single" w:sz="8" w:space="0" w:color="auto"/>
            </w:tcBorders>
            <w:shd w:val="clear" w:color="000000" w:fill="3E5C60"/>
            <w:vAlign w:val="center"/>
            <w:hideMark/>
          </w:tcPr>
          <w:p w14:paraId="2EE5BC05" w14:textId="77777777" w:rsidR="00F7478D" w:rsidRPr="00F60642" w:rsidRDefault="00F7478D" w:rsidP="00801D97">
            <w:pPr>
              <w:spacing w:after="0" w:line="240" w:lineRule="auto"/>
              <w:jc w:val="center"/>
              <w:rPr>
                <w:rFonts w:eastAsia="Times New Roman" w:cs="Times New Roman"/>
                <w:b/>
                <w:bCs/>
                <w:color w:val="FFFFFF"/>
                <w:kern w:val="0"/>
                <w:sz w:val="20"/>
                <w:szCs w:val="20"/>
                <w:lang w:eastAsia="en-GB"/>
                <w14:ligatures w14:val="none"/>
              </w:rPr>
            </w:pPr>
            <w:r w:rsidRPr="00F60642">
              <w:rPr>
                <w:rFonts w:eastAsia="Times New Roman" w:cs="Times New Roman"/>
                <w:b/>
                <w:bCs/>
                <w:color w:val="FFFFFF" w:themeColor="background1"/>
                <w:kern w:val="0"/>
                <w:sz w:val="20"/>
                <w:szCs w:val="20"/>
                <w:lang w:eastAsia="en-GB"/>
                <w14:ligatures w14:val="none"/>
              </w:rPr>
              <w:t>GJ</w:t>
            </w:r>
          </w:p>
        </w:tc>
      </w:tr>
      <w:tr w:rsidR="00B54B2E" w:rsidRPr="002C7A3C" w14:paraId="37BDF850" w14:textId="77777777" w:rsidTr="00AA37FE">
        <w:trPr>
          <w:trHeight w:val="286"/>
        </w:trPr>
        <w:tc>
          <w:tcPr>
            <w:tcW w:w="1431" w:type="dxa"/>
            <w:tcBorders>
              <w:top w:val="nil"/>
              <w:left w:val="single" w:sz="8" w:space="0" w:color="auto"/>
              <w:bottom w:val="single" w:sz="8" w:space="0" w:color="auto"/>
              <w:right w:val="single" w:sz="8" w:space="0" w:color="auto"/>
            </w:tcBorders>
            <w:vAlign w:val="center"/>
            <w:hideMark/>
          </w:tcPr>
          <w:p w14:paraId="2278580E" w14:textId="77777777" w:rsidR="00F7478D" w:rsidRPr="00F60642" w:rsidRDefault="00F7478D" w:rsidP="00801D97">
            <w:pPr>
              <w:spacing w:after="0" w:line="240" w:lineRule="auto"/>
              <w:jc w:val="both"/>
              <w:rPr>
                <w:rFonts w:eastAsia="Times New Roman" w:cs="Times New Roman"/>
                <w:color w:val="44546A"/>
                <w:kern w:val="0"/>
                <w:sz w:val="20"/>
                <w:szCs w:val="20"/>
                <w:lang w:eastAsia="en-GB"/>
                <w14:ligatures w14:val="none"/>
              </w:rPr>
            </w:pPr>
            <w:r w:rsidRPr="00F60642">
              <w:rPr>
                <w:rFonts w:eastAsia="Times New Roman" w:cs="Times New Roman"/>
                <w:color w:val="44546A" w:themeColor="text2"/>
                <w:kern w:val="0"/>
                <w:sz w:val="20"/>
                <w:szCs w:val="20"/>
                <w:lang w:eastAsia="en-GB"/>
                <w14:ligatures w14:val="none"/>
              </w:rPr>
              <w:t> </w:t>
            </w:r>
          </w:p>
        </w:tc>
        <w:tc>
          <w:tcPr>
            <w:tcW w:w="1366" w:type="dxa"/>
            <w:tcBorders>
              <w:top w:val="nil"/>
              <w:left w:val="nil"/>
              <w:bottom w:val="single" w:sz="8" w:space="0" w:color="auto"/>
              <w:right w:val="single" w:sz="8" w:space="0" w:color="auto"/>
            </w:tcBorders>
            <w:vAlign w:val="center"/>
            <w:hideMark/>
          </w:tcPr>
          <w:p w14:paraId="7DD6D7E4" w14:textId="77777777" w:rsidR="00F7478D" w:rsidRPr="00F60642" w:rsidRDefault="00F7478D" w:rsidP="00801D97">
            <w:pPr>
              <w:spacing w:after="0" w:line="240" w:lineRule="auto"/>
              <w:jc w:val="both"/>
              <w:rPr>
                <w:rFonts w:eastAsia="Times New Roman" w:cs="Times New Roman"/>
                <w:color w:val="44546A"/>
                <w:kern w:val="0"/>
                <w:sz w:val="20"/>
                <w:szCs w:val="20"/>
                <w:lang w:eastAsia="en-GB"/>
                <w14:ligatures w14:val="none"/>
              </w:rPr>
            </w:pPr>
            <w:r w:rsidRPr="00F60642">
              <w:rPr>
                <w:rFonts w:eastAsia="Times New Roman" w:cs="Times New Roman"/>
                <w:color w:val="44546A"/>
                <w:kern w:val="0"/>
                <w:sz w:val="20"/>
                <w:szCs w:val="20"/>
                <w:lang w:eastAsia="en-GB"/>
                <w14:ligatures w14:val="none"/>
              </w:rPr>
              <w:t> </w:t>
            </w:r>
          </w:p>
        </w:tc>
        <w:tc>
          <w:tcPr>
            <w:tcW w:w="1366" w:type="dxa"/>
            <w:tcBorders>
              <w:top w:val="nil"/>
              <w:left w:val="nil"/>
              <w:bottom w:val="single" w:sz="8" w:space="0" w:color="auto"/>
              <w:right w:val="single" w:sz="8" w:space="0" w:color="auto"/>
            </w:tcBorders>
            <w:vAlign w:val="center"/>
            <w:hideMark/>
          </w:tcPr>
          <w:p w14:paraId="3625389F" w14:textId="77777777" w:rsidR="00F7478D" w:rsidRPr="00F60642" w:rsidRDefault="00F7478D" w:rsidP="00801D97">
            <w:pPr>
              <w:spacing w:after="0" w:line="240" w:lineRule="auto"/>
              <w:jc w:val="center"/>
              <w:rPr>
                <w:rFonts w:eastAsia="Times New Roman" w:cs="Times New Roman"/>
                <w:b/>
                <w:bCs/>
                <w:color w:val="44546A"/>
                <w:kern w:val="0"/>
                <w:sz w:val="20"/>
                <w:szCs w:val="20"/>
                <w:lang w:eastAsia="en-GB"/>
                <w14:ligatures w14:val="none"/>
              </w:rPr>
            </w:pPr>
            <w:r w:rsidRPr="00F60642">
              <w:rPr>
                <w:rFonts w:eastAsia="Times New Roman" w:cs="Times New Roman"/>
                <w:b/>
                <w:bCs/>
                <w:color w:val="44546A" w:themeColor="text2"/>
                <w:kern w:val="0"/>
                <w:sz w:val="20"/>
                <w:szCs w:val="20"/>
                <w:lang w:eastAsia="en-GB"/>
                <w14:ligatures w14:val="none"/>
              </w:rPr>
              <w:t> </w:t>
            </w:r>
          </w:p>
        </w:tc>
        <w:tc>
          <w:tcPr>
            <w:tcW w:w="1367" w:type="dxa"/>
            <w:tcBorders>
              <w:top w:val="nil"/>
              <w:left w:val="nil"/>
              <w:bottom w:val="single" w:sz="8" w:space="0" w:color="auto"/>
              <w:right w:val="single" w:sz="8" w:space="0" w:color="auto"/>
            </w:tcBorders>
            <w:vAlign w:val="center"/>
            <w:hideMark/>
          </w:tcPr>
          <w:p w14:paraId="4CF9E9BA" w14:textId="77777777" w:rsidR="00F7478D" w:rsidRPr="00F60642" w:rsidRDefault="00F7478D" w:rsidP="00801D97">
            <w:pPr>
              <w:spacing w:after="0" w:line="240" w:lineRule="auto"/>
              <w:jc w:val="center"/>
              <w:rPr>
                <w:rFonts w:eastAsia="Times New Roman" w:cs="Times New Roman"/>
                <w:b/>
                <w:bCs/>
                <w:color w:val="44546A"/>
                <w:kern w:val="0"/>
                <w:sz w:val="20"/>
                <w:szCs w:val="20"/>
                <w:lang w:eastAsia="en-GB"/>
                <w14:ligatures w14:val="none"/>
              </w:rPr>
            </w:pPr>
            <w:r w:rsidRPr="00F60642">
              <w:rPr>
                <w:rFonts w:eastAsia="Times New Roman" w:cs="Times New Roman"/>
                <w:b/>
                <w:bCs/>
                <w:color w:val="44546A" w:themeColor="text2"/>
                <w:kern w:val="0"/>
                <w:sz w:val="20"/>
                <w:szCs w:val="20"/>
                <w:lang w:eastAsia="en-GB"/>
                <w14:ligatures w14:val="none"/>
              </w:rPr>
              <w:t> </w:t>
            </w:r>
          </w:p>
        </w:tc>
        <w:tc>
          <w:tcPr>
            <w:tcW w:w="1366" w:type="dxa"/>
            <w:tcBorders>
              <w:top w:val="nil"/>
              <w:left w:val="nil"/>
              <w:bottom w:val="single" w:sz="8" w:space="0" w:color="auto"/>
              <w:right w:val="single" w:sz="8" w:space="0" w:color="auto"/>
            </w:tcBorders>
            <w:vAlign w:val="center"/>
            <w:hideMark/>
          </w:tcPr>
          <w:p w14:paraId="2A8866BA" w14:textId="77777777" w:rsidR="00F7478D" w:rsidRPr="00F60642" w:rsidRDefault="00F7478D" w:rsidP="00801D97">
            <w:pPr>
              <w:spacing w:after="0" w:line="240" w:lineRule="auto"/>
              <w:jc w:val="center"/>
              <w:rPr>
                <w:rFonts w:eastAsia="Times New Roman" w:cs="Times New Roman"/>
                <w:b/>
                <w:bCs/>
                <w:color w:val="44546A"/>
                <w:kern w:val="0"/>
                <w:sz w:val="20"/>
                <w:szCs w:val="20"/>
                <w:lang w:eastAsia="en-GB"/>
                <w14:ligatures w14:val="none"/>
              </w:rPr>
            </w:pPr>
            <w:r w:rsidRPr="00F60642">
              <w:rPr>
                <w:rFonts w:eastAsia="Times New Roman" w:cs="Times New Roman"/>
                <w:b/>
                <w:bCs/>
                <w:color w:val="44546A"/>
                <w:kern w:val="0"/>
                <w:sz w:val="20"/>
                <w:szCs w:val="20"/>
                <w:lang w:eastAsia="en-GB"/>
                <w14:ligatures w14:val="none"/>
              </w:rPr>
              <w:t> </w:t>
            </w:r>
          </w:p>
        </w:tc>
        <w:tc>
          <w:tcPr>
            <w:tcW w:w="1366" w:type="dxa"/>
            <w:tcBorders>
              <w:top w:val="nil"/>
              <w:left w:val="nil"/>
              <w:bottom w:val="single" w:sz="8" w:space="0" w:color="auto"/>
              <w:right w:val="single" w:sz="8" w:space="0" w:color="auto"/>
            </w:tcBorders>
            <w:vAlign w:val="center"/>
            <w:hideMark/>
          </w:tcPr>
          <w:p w14:paraId="4DD9C576" w14:textId="77777777" w:rsidR="00F7478D" w:rsidRPr="00F60642" w:rsidRDefault="00F7478D" w:rsidP="00801D97">
            <w:pPr>
              <w:spacing w:after="0" w:line="240" w:lineRule="auto"/>
              <w:jc w:val="center"/>
              <w:rPr>
                <w:rFonts w:eastAsia="Times New Roman" w:cs="Times New Roman"/>
                <w:b/>
                <w:bCs/>
                <w:color w:val="44546A"/>
                <w:kern w:val="0"/>
                <w:sz w:val="20"/>
                <w:szCs w:val="20"/>
                <w:lang w:eastAsia="en-GB"/>
                <w14:ligatures w14:val="none"/>
              </w:rPr>
            </w:pPr>
            <w:r w:rsidRPr="00F60642">
              <w:rPr>
                <w:rFonts w:eastAsia="Times New Roman" w:cs="Times New Roman"/>
                <w:b/>
                <w:bCs/>
                <w:color w:val="44546A" w:themeColor="text2"/>
                <w:kern w:val="0"/>
                <w:sz w:val="20"/>
                <w:szCs w:val="20"/>
                <w:lang w:eastAsia="en-GB"/>
                <w14:ligatures w14:val="none"/>
              </w:rPr>
              <w:t> </w:t>
            </w:r>
          </w:p>
        </w:tc>
        <w:tc>
          <w:tcPr>
            <w:tcW w:w="1367" w:type="dxa"/>
            <w:tcBorders>
              <w:top w:val="nil"/>
              <w:left w:val="nil"/>
              <w:bottom w:val="single" w:sz="8" w:space="0" w:color="auto"/>
              <w:right w:val="single" w:sz="8" w:space="0" w:color="auto"/>
            </w:tcBorders>
            <w:vAlign w:val="center"/>
            <w:hideMark/>
          </w:tcPr>
          <w:p w14:paraId="36791C2E" w14:textId="77777777" w:rsidR="00F7478D" w:rsidRPr="00F60642" w:rsidRDefault="00F7478D" w:rsidP="00801D97">
            <w:pPr>
              <w:spacing w:after="0" w:line="240" w:lineRule="auto"/>
              <w:jc w:val="center"/>
              <w:rPr>
                <w:rFonts w:eastAsia="Times New Roman" w:cs="Times New Roman"/>
                <w:b/>
                <w:bCs/>
                <w:color w:val="44546A"/>
                <w:kern w:val="0"/>
                <w:sz w:val="20"/>
                <w:szCs w:val="20"/>
                <w:lang w:eastAsia="en-GB"/>
                <w14:ligatures w14:val="none"/>
              </w:rPr>
            </w:pPr>
            <w:r w:rsidRPr="00F60642">
              <w:rPr>
                <w:rFonts w:eastAsia="Times New Roman" w:cs="Times New Roman"/>
                <w:b/>
                <w:bCs/>
                <w:color w:val="44546A" w:themeColor="text2"/>
                <w:kern w:val="0"/>
                <w:sz w:val="20"/>
                <w:szCs w:val="20"/>
                <w:lang w:eastAsia="en-GB"/>
                <w14:ligatures w14:val="none"/>
              </w:rPr>
              <w:t> </w:t>
            </w:r>
          </w:p>
        </w:tc>
        <w:tc>
          <w:tcPr>
            <w:tcW w:w="1401" w:type="dxa"/>
            <w:tcBorders>
              <w:top w:val="nil"/>
              <w:left w:val="nil"/>
              <w:bottom w:val="single" w:sz="8" w:space="0" w:color="auto"/>
              <w:right w:val="single" w:sz="8" w:space="0" w:color="auto"/>
            </w:tcBorders>
            <w:vAlign w:val="center"/>
            <w:hideMark/>
          </w:tcPr>
          <w:p w14:paraId="5F3AE228" w14:textId="77777777" w:rsidR="00F7478D" w:rsidRPr="00F60642" w:rsidRDefault="00F7478D" w:rsidP="00801D97">
            <w:pPr>
              <w:spacing w:after="0" w:line="240" w:lineRule="auto"/>
              <w:jc w:val="center"/>
              <w:rPr>
                <w:rFonts w:eastAsia="Times New Roman" w:cs="Times New Roman"/>
                <w:b/>
                <w:bCs/>
                <w:color w:val="44546A"/>
                <w:kern w:val="0"/>
                <w:sz w:val="20"/>
                <w:szCs w:val="20"/>
                <w:lang w:eastAsia="en-GB"/>
                <w14:ligatures w14:val="none"/>
              </w:rPr>
            </w:pPr>
            <w:r w:rsidRPr="00F60642">
              <w:rPr>
                <w:rFonts w:eastAsia="Times New Roman" w:cs="Times New Roman"/>
                <w:b/>
                <w:bCs/>
                <w:color w:val="44546A"/>
                <w:kern w:val="0"/>
                <w:sz w:val="20"/>
                <w:szCs w:val="20"/>
                <w:lang w:eastAsia="en-GB"/>
                <w14:ligatures w14:val="none"/>
              </w:rPr>
              <w:t> </w:t>
            </w:r>
          </w:p>
        </w:tc>
        <w:tc>
          <w:tcPr>
            <w:tcW w:w="1331" w:type="dxa"/>
            <w:tcBorders>
              <w:top w:val="nil"/>
              <w:left w:val="nil"/>
              <w:bottom w:val="single" w:sz="8" w:space="0" w:color="auto"/>
              <w:right w:val="single" w:sz="8" w:space="0" w:color="auto"/>
            </w:tcBorders>
            <w:vAlign w:val="center"/>
            <w:hideMark/>
          </w:tcPr>
          <w:p w14:paraId="71030360" w14:textId="77777777" w:rsidR="00F7478D" w:rsidRPr="00F60642" w:rsidRDefault="00F7478D" w:rsidP="00801D97">
            <w:pPr>
              <w:spacing w:after="0" w:line="240" w:lineRule="auto"/>
              <w:jc w:val="center"/>
              <w:rPr>
                <w:rFonts w:eastAsia="Times New Roman" w:cs="Times New Roman"/>
                <w:b/>
                <w:bCs/>
                <w:color w:val="44546A"/>
                <w:kern w:val="0"/>
                <w:sz w:val="20"/>
                <w:szCs w:val="20"/>
                <w:lang w:eastAsia="en-GB"/>
                <w14:ligatures w14:val="none"/>
              </w:rPr>
            </w:pPr>
            <w:r w:rsidRPr="00F60642">
              <w:rPr>
                <w:rFonts w:eastAsia="Times New Roman" w:cs="Times New Roman"/>
                <w:b/>
                <w:bCs/>
                <w:color w:val="44546A" w:themeColor="text2"/>
                <w:kern w:val="0"/>
                <w:sz w:val="20"/>
                <w:szCs w:val="20"/>
                <w:lang w:eastAsia="en-GB"/>
                <w14:ligatures w14:val="none"/>
              </w:rPr>
              <w:t> </w:t>
            </w:r>
          </w:p>
        </w:tc>
        <w:tc>
          <w:tcPr>
            <w:tcW w:w="1367" w:type="dxa"/>
            <w:tcBorders>
              <w:top w:val="nil"/>
              <w:left w:val="nil"/>
              <w:bottom w:val="single" w:sz="8" w:space="0" w:color="auto"/>
              <w:right w:val="single" w:sz="8" w:space="0" w:color="auto"/>
            </w:tcBorders>
            <w:vAlign w:val="center"/>
            <w:hideMark/>
          </w:tcPr>
          <w:p w14:paraId="1BA57AD4" w14:textId="77777777" w:rsidR="00F7478D" w:rsidRPr="00F60642" w:rsidRDefault="00F7478D" w:rsidP="00801D97">
            <w:pPr>
              <w:spacing w:after="0" w:line="240" w:lineRule="auto"/>
              <w:jc w:val="center"/>
              <w:rPr>
                <w:rFonts w:eastAsia="Times New Roman" w:cs="Times New Roman"/>
                <w:b/>
                <w:bCs/>
                <w:color w:val="44546A"/>
                <w:kern w:val="0"/>
                <w:sz w:val="20"/>
                <w:szCs w:val="20"/>
                <w:lang w:eastAsia="en-GB"/>
                <w14:ligatures w14:val="none"/>
              </w:rPr>
            </w:pPr>
            <w:r w:rsidRPr="00F60642">
              <w:rPr>
                <w:rFonts w:eastAsia="Times New Roman" w:cs="Times New Roman"/>
                <w:b/>
                <w:bCs/>
                <w:color w:val="44546A" w:themeColor="text2"/>
                <w:kern w:val="0"/>
                <w:sz w:val="20"/>
                <w:szCs w:val="20"/>
                <w:lang w:eastAsia="en-GB"/>
                <w14:ligatures w14:val="none"/>
              </w:rPr>
              <w:t> </w:t>
            </w:r>
          </w:p>
        </w:tc>
      </w:tr>
      <w:tr w:rsidR="00AA37FE" w:rsidRPr="002C7A3C" w14:paraId="0827C4AF" w14:textId="77777777" w:rsidTr="00AA37FE">
        <w:trPr>
          <w:trHeight w:val="516"/>
        </w:trPr>
        <w:tc>
          <w:tcPr>
            <w:tcW w:w="1431" w:type="dxa"/>
            <w:tcBorders>
              <w:top w:val="nil"/>
              <w:left w:val="single" w:sz="8" w:space="0" w:color="auto"/>
              <w:bottom w:val="single" w:sz="8" w:space="0" w:color="auto"/>
              <w:right w:val="single" w:sz="8" w:space="0" w:color="auto"/>
            </w:tcBorders>
            <w:vAlign w:val="center"/>
            <w:hideMark/>
          </w:tcPr>
          <w:p w14:paraId="7D912D5A" w14:textId="29040269" w:rsidR="00AA37FE" w:rsidRPr="00F60642" w:rsidRDefault="00AA37FE" w:rsidP="00AA37FE">
            <w:pPr>
              <w:spacing w:after="0" w:line="240" w:lineRule="auto"/>
              <w:jc w:val="both"/>
              <w:rPr>
                <w:rFonts w:eastAsia="Times New Roman" w:cs="Times New Roman"/>
                <w:color w:val="44546A"/>
                <w:kern w:val="0"/>
                <w:sz w:val="20"/>
                <w:szCs w:val="20"/>
                <w:lang w:eastAsia="en-GB"/>
                <w14:ligatures w14:val="none"/>
              </w:rPr>
            </w:pPr>
            <w:r>
              <w:rPr>
                <w:rFonts w:eastAsia="Times New Roman" w:cs="Times New Roman"/>
                <w:color w:val="44546A" w:themeColor="text2"/>
                <w:kern w:val="0"/>
                <w:sz w:val="20"/>
                <w:szCs w:val="20"/>
                <w:lang w:eastAsia="en-GB"/>
                <w14:ligatures w14:val="none"/>
              </w:rPr>
              <w:t>Purchased e</w:t>
            </w:r>
            <w:r w:rsidRPr="00F60642">
              <w:rPr>
                <w:rFonts w:eastAsia="Times New Roman" w:cs="Times New Roman"/>
                <w:color w:val="44546A" w:themeColor="text2"/>
                <w:kern w:val="0"/>
                <w:sz w:val="20"/>
                <w:szCs w:val="20"/>
                <w:lang w:eastAsia="en-GB"/>
                <w14:ligatures w14:val="none"/>
              </w:rPr>
              <w:t>lectricity</w:t>
            </w:r>
          </w:p>
        </w:tc>
        <w:tc>
          <w:tcPr>
            <w:tcW w:w="1366" w:type="dxa"/>
            <w:tcBorders>
              <w:top w:val="nil"/>
              <w:left w:val="nil"/>
              <w:bottom w:val="single" w:sz="8" w:space="0" w:color="auto"/>
              <w:right w:val="single" w:sz="8" w:space="0" w:color="auto"/>
            </w:tcBorders>
            <w:vAlign w:val="center"/>
            <w:hideMark/>
          </w:tcPr>
          <w:p w14:paraId="4585C9E9" w14:textId="03FCFE98" w:rsidR="00AA37FE" w:rsidRPr="00F60642" w:rsidRDefault="00AA37FE" w:rsidP="00AA37FE">
            <w:pPr>
              <w:spacing w:after="0" w:line="240" w:lineRule="auto"/>
              <w:jc w:val="center"/>
              <w:rPr>
                <w:rFonts w:eastAsia="Times New Roman" w:cs="Times New Roman"/>
                <w:color w:val="44546A"/>
                <w:kern w:val="0"/>
                <w:sz w:val="20"/>
                <w:szCs w:val="20"/>
                <w:lang w:eastAsia="en-GB"/>
                <w14:ligatures w14:val="none"/>
              </w:rPr>
            </w:pPr>
            <w:r>
              <w:rPr>
                <w:rFonts w:eastAsia="Times New Roman" w:cs="Times New Roman"/>
                <w:color w:val="44546A"/>
                <w:kern w:val="0"/>
                <w:sz w:val="20"/>
                <w:szCs w:val="20"/>
                <w:lang w:eastAsia="en-GB"/>
                <w14:ligatures w14:val="none"/>
              </w:rPr>
              <w:t>182</w:t>
            </w:r>
            <w:r w:rsidRPr="00F60642">
              <w:rPr>
                <w:rFonts w:eastAsia="Times New Roman" w:cs="Times New Roman"/>
                <w:color w:val="44546A"/>
                <w:kern w:val="0"/>
                <w:sz w:val="20"/>
                <w:szCs w:val="20"/>
                <w:lang w:eastAsia="en-GB"/>
                <w14:ligatures w14:val="none"/>
              </w:rPr>
              <w:t>,</w:t>
            </w:r>
            <w:r>
              <w:rPr>
                <w:rFonts w:eastAsia="Times New Roman" w:cs="Times New Roman"/>
                <w:color w:val="44546A"/>
                <w:kern w:val="0"/>
                <w:sz w:val="20"/>
                <w:szCs w:val="20"/>
                <w:lang w:eastAsia="en-GB"/>
                <w14:ligatures w14:val="none"/>
              </w:rPr>
              <w:t>264</w:t>
            </w:r>
          </w:p>
        </w:tc>
        <w:tc>
          <w:tcPr>
            <w:tcW w:w="1366" w:type="dxa"/>
            <w:tcBorders>
              <w:top w:val="nil"/>
              <w:left w:val="nil"/>
              <w:bottom w:val="single" w:sz="8" w:space="0" w:color="auto"/>
              <w:right w:val="single" w:sz="8" w:space="0" w:color="auto"/>
            </w:tcBorders>
            <w:vAlign w:val="center"/>
            <w:hideMark/>
          </w:tcPr>
          <w:p w14:paraId="389FBEFF" w14:textId="4B1C8E0A" w:rsidR="00AA37FE" w:rsidRPr="00F60642" w:rsidRDefault="00AA37FE" w:rsidP="00AA37FE">
            <w:pPr>
              <w:spacing w:after="0" w:line="240" w:lineRule="auto"/>
              <w:jc w:val="center"/>
              <w:rPr>
                <w:rFonts w:eastAsia="Times New Roman" w:cs="Times New Roman"/>
                <w:color w:val="44546A"/>
                <w:kern w:val="0"/>
                <w:sz w:val="20"/>
                <w:szCs w:val="20"/>
                <w:lang w:eastAsia="en-GB"/>
                <w14:ligatures w14:val="none"/>
              </w:rPr>
            </w:pPr>
            <w:r w:rsidRPr="00F60642">
              <w:rPr>
                <w:rFonts w:eastAsia="Times New Roman" w:cs="Times New Roman"/>
                <w:color w:val="44546A"/>
                <w:kern w:val="0"/>
                <w:sz w:val="20"/>
                <w:szCs w:val="20"/>
                <w:lang w:eastAsia="en-GB"/>
                <w14:ligatures w14:val="none"/>
              </w:rPr>
              <w:t>2</w:t>
            </w:r>
            <w:r>
              <w:rPr>
                <w:rFonts w:eastAsia="Times New Roman" w:cs="Times New Roman"/>
                <w:color w:val="44546A"/>
                <w:kern w:val="0"/>
                <w:sz w:val="20"/>
                <w:szCs w:val="20"/>
                <w:lang w:eastAsia="en-GB"/>
                <w14:ligatures w14:val="none"/>
              </w:rPr>
              <w:t>09</w:t>
            </w:r>
            <w:r w:rsidRPr="00F60642">
              <w:rPr>
                <w:rFonts w:eastAsia="Times New Roman" w:cs="Times New Roman"/>
                <w:color w:val="44546A"/>
                <w:kern w:val="0"/>
                <w:sz w:val="20"/>
                <w:szCs w:val="20"/>
                <w:lang w:eastAsia="en-GB"/>
                <w14:ligatures w14:val="none"/>
              </w:rPr>
              <w:t>,</w:t>
            </w:r>
            <w:r>
              <w:rPr>
                <w:rFonts w:eastAsia="Times New Roman" w:cs="Times New Roman"/>
                <w:color w:val="44546A"/>
                <w:kern w:val="0"/>
                <w:sz w:val="20"/>
                <w:szCs w:val="20"/>
                <w:lang w:eastAsia="en-GB"/>
                <w14:ligatures w14:val="none"/>
              </w:rPr>
              <w:t>820</w:t>
            </w:r>
          </w:p>
        </w:tc>
        <w:tc>
          <w:tcPr>
            <w:tcW w:w="1367" w:type="dxa"/>
            <w:tcBorders>
              <w:top w:val="nil"/>
              <w:left w:val="nil"/>
              <w:bottom w:val="single" w:sz="8" w:space="0" w:color="auto"/>
              <w:right w:val="single" w:sz="8" w:space="0" w:color="auto"/>
            </w:tcBorders>
            <w:vAlign w:val="center"/>
            <w:hideMark/>
          </w:tcPr>
          <w:p w14:paraId="636EFDD3" w14:textId="77777777" w:rsidR="00AA37FE" w:rsidRPr="00F60642" w:rsidRDefault="00AA37FE" w:rsidP="00AA37FE">
            <w:pPr>
              <w:spacing w:after="0" w:line="240" w:lineRule="auto"/>
              <w:jc w:val="center"/>
              <w:rPr>
                <w:rFonts w:eastAsia="Times New Roman" w:cs="Times New Roman"/>
                <w:color w:val="44546A"/>
                <w:kern w:val="0"/>
                <w:sz w:val="20"/>
                <w:szCs w:val="20"/>
                <w:lang w:eastAsia="en-GB"/>
                <w14:ligatures w14:val="none"/>
              </w:rPr>
            </w:pPr>
            <w:r w:rsidRPr="00F60642">
              <w:rPr>
                <w:rFonts w:eastAsia="Times New Roman" w:cs="Times New Roman"/>
                <w:color w:val="44546A" w:themeColor="text2"/>
                <w:kern w:val="0"/>
                <w:sz w:val="20"/>
                <w:szCs w:val="20"/>
                <w:lang w:eastAsia="en-GB"/>
                <w14:ligatures w14:val="none"/>
              </w:rPr>
              <w:t>217,831</w:t>
            </w:r>
          </w:p>
        </w:tc>
        <w:tc>
          <w:tcPr>
            <w:tcW w:w="1366" w:type="dxa"/>
            <w:tcBorders>
              <w:top w:val="nil"/>
              <w:left w:val="nil"/>
              <w:bottom w:val="single" w:sz="8" w:space="0" w:color="auto"/>
              <w:right w:val="single" w:sz="8" w:space="0" w:color="auto"/>
            </w:tcBorders>
            <w:vAlign w:val="center"/>
            <w:hideMark/>
          </w:tcPr>
          <w:p w14:paraId="340C628B" w14:textId="77777777" w:rsidR="00AA37FE" w:rsidRPr="00F60642" w:rsidRDefault="00AA37FE" w:rsidP="00AA37FE">
            <w:pPr>
              <w:spacing w:after="0" w:line="240" w:lineRule="auto"/>
              <w:jc w:val="center"/>
              <w:rPr>
                <w:rFonts w:eastAsia="Times New Roman" w:cs="Times New Roman"/>
                <w:color w:val="44546A"/>
                <w:kern w:val="0"/>
                <w:sz w:val="20"/>
                <w:szCs w:val="20"/>
                <w:lang w:eastAsia="en-GB"/>
                <w14:ligatures w14:val="none"/>
              </w:rPr>
            </w:pPr>
            <w:r w:rsidRPr="00F60642">
              <w:rPr>
                <w:rFonts w:eastAsia="Times New Roman" w:cs="Times New Roman"/>
                <w:color w:val="44546A"/>
                <w:kern w:val="0"/>
                <w:sz w:val="20"/>
                <w:szCs w:val="20"/>
                <w:lang w:eastAsia="en-GB"/>
                <w14:ligatures w14:val="none"/>
              </w:rPr>
              <w:t>166,794</w:t>
            </w:r>
          </w:p>
        </w:tc>
        <w:tc>
          <w:tcPr>
            <w:tcW w:w="1366" w:type="dxa"/>
            <w:tcBorders>
              <w:top w:val="nil"/>
              <w:left w:val="nil"/>
              <w:bottom w:val="single" w:sz="8" w:space="0" w:color="auto"/>
              <w:right w:val="single" w:sz="8" w:space="0" w:color="auto"/>
            </w:tcBorders>
            <w:vAlign w:val="center"/>
            <w:hideMark/>
          </w:tcPr>
          <w:p w14:paraId="5A2D2EA2" w14:textId="77777777" w:rsidR="00AA37FE" w:rsidRPr="00F60642" w:rsidRDefault="00AA37FE" w:rsidP="00AA37FE">
            <w:pPr>
              <w:spacing w:after="0" w:line="240" w:lineRule="auto"/>
              <w:jc w:val="center"/>
              <w:rPr>
                <w:rFonts w:eastAsia="Times New Roman" w:cs="Times New Roman"/>
                <w:color w:val="44546A"/>
                <w:kern w:val="0"/>
                <w:sz w:val="20"/>
                <w:szCs w:val="20"/>
                <w:lang w:eastAsia="en-GB"/>
                <w14:ligatures w14:val="none"/>
              </w:rPr>
            </w:pPr>
            <w:r w:rsidRPr="00F60642">
              <w:rPr>
                <w:rFonts w:eastAsia="Times New Roman" w:cs="Times New Roman"/>
                <w:color w:val="44546A" w:themeColor="text2"/>
                <w:kern w:val="0"/>
                <w:sz w:val="20"/>
                <w:szCs w:val="20"/>
                <w:lang w:eastAsia="en-GB"/>
                <w14:ligatures w14:val="none"/>
              </w:rPr>
              <w:t>159,936</w:t>
            </w:r>
          </w:p>
        </w:tc>
        <w:tc>
          <w:tcPr>
            <w:tcW w:w="1367" w:type="dxa"/>
            <w:tcBorders>
              <w:top w:val="nil"/>
              <w:left w:val="nil"/>
              <w:bottom w:val="single" w:sz="8" w:space="0" w:color="auto"/>
              <w:right w:val="single" w:sz="8" w:space="0" w:color="auto"/>
            </w:tcBorders>
            <w:vAlign w:val="center"/>
            <w:hideMark/>
          </w:tcPr>
          <w:p w14:paraId="1262E947" w14:textId="77777777" w:rsidR="00AA37FE" w:rsidRPr="00F60642" w:rsidRDefault="00AA37FE" w:rsidP="00AA37FE">
            <w:pPr>
              <w:spacing w:after="0" w:line="240" w:lineRule="auto"/>
              <w:jc w:val="center"/>
              <w:rPr>
                <w:rFonts w:eastAsia="Times New Roman" w:cs="Times New Roman"/>
                <w:color w:val="44546A"/>
                <w:kern w:val="0"/>
                <w:sz w:val="20"/>
                <w:szCs w:val="20"/>
                <w:lang w:eastAsia="en-GB"/>
                <w14:ligatures w14:val="none"/>
              </w:rPr>
            </w:pPr>
            <w:r w:rsidRPr="00F60642">
              <w:rPr>
                <w:rFonts w:eastAsia="Times New Roman" w:cs="Times New Roman"/>
                <w:color w:val="44546A" w:themeColor="text2"/>
                <w:kern w:val="0"/>
                <w:sz w:val="20"/>
                <w:szCs w:val="20"/>
                <w:lang w:eastAsia="en-GB"/>
                <w14:ligatures w14:val="none"/>
              </w:rPr>
              <w:t>155,669</w:t>
            </w:r>
          </w:p>
        </w:tc>
        <w:tc>
          <w:tcPr>
            <w:tcW w:w="1401" w:type="dxa"/>
            <w:tcBorders>
              <w:top w:val="nil"/>
              <w:left w:val="nil"/>
              <w:bottom w:val="single" w:sz="8" w:space="0" w:color="auto"/>
              <w:right w:val="single" w:sz="8" w:space="0" w:color="auto"/>
            </w:tcBorders>
            <w:vAlign w:val="center"/>
            <w:hideMark/>
          </w:tcPr>
          <w:p w14:paraId="779BF5E6" w14:textId="0639B9B3" w:rsidR="00AA37FE" w:rsidRPr="00F60642" w:rsidRDefault="00AA37FE" w:rsidP="00AA37FE">
            <w:pPr>
              <w:spacing w:after="0" w:line="240" w:lineRule="auto"/>
              <w:jc w:val="center"/>
              <w:rPr>
                <w:rFonts w:eastAsia="Times New Roman" w:cs="Times New Roman"/>
                <w:b/>
                <w:bCs/>
                <w:color w:val="44546A"/>
                <w:kern w:val="0"/>
                <w:sz w:val="20"/>
                <w:szCs w:val="20"/>
                <w:lang w:eastAsia="en-GB"/>
                <w14:ligatures w14:val="none"/>
              </w:rPr>
            </w:pPr>
            <w:r>
              <w:rPr>
                <w:b/>
                <w:bCs/>
                <w:color w:val="44546A"/>
              </w:rPr>
              <w:t>349,058</w:t>
            </w:r>
          </w:p>
        </w:tc>
        <w:tc>
          <w:tcPr>
            <w:tcW w:w="1331" w:type="dxa"/>
            <w:tcBorders>
              <w:top w:val="nil"/>
              <w:left w:val="nil"/>
              <w:bottom w:val="single" w:sz="8" w:space="0" w:color="auto"/>
              <w:right w:val="single" w:sz="8" w:space="0" w:color="auto"/>
            </w:tcBorders>
            <w:vAlign w:val="center"/>
            <w:hideMark/>
          </w:tcPr>
          <w:p w14:paraId="35355FBB" w14:textId="6086072A" w:rsidR="00AA37FE" w:rsidRPr="00F60642" w:rsidRDefault="00AA37FE" w:rsidP="00AA37FE">
            <w:pPr>
              <w:spacing w:after="0" w:line="240" w:lineRule="auto"/>
              <w:jc w:val="center"/>
              <w:rPr>
                <w:rFonts w:eastAsia="Times New Roman" w:cs="Times New Roman"/>
                <w:b/>
                <w:bCs/>
                <w:color w:val="44546A"/>
                <w:kern w:val="0"/>
                <w:sz w:val="20"/>
                <w:szCs w:val="20"/>
                <w:lang w:eastAsia="en-GB"/>
                <w14:ligatures w14:val="none"/>
              </w:rPr>
            </w:pPr>
            <w:r>
              <w:rPr>
                <w:b/>
                <w:bCs/>
                <w:color w:val="44546A"/>
              </w:rPr>
              <w:t>369,756</w:t>
            </w:r>
          </w:p>
        </w:tc>
        <w:tc>
          <w:tcPr>
            <w:tcW w:w="1367" w:type="dxa"/>
            <w:tcBorders>
              <w:top w:val="nil"/>
              <w:left w:val="nil"/>
              <w:bottom w:val="single" w:sz="8" w:space="0" w:color="auto"/>
              <w:right w:val="single" w:sz="8" w:space="0" w:color="auto"/>
            </w:tcBorders>
            <w:vAlign w:val="center"/>
            <w:hideMark/>
          </w:tcPr>
          <w:p w14:paraId="5BA6676B" w14:textId="41DD533B" w:rsidR="00AA37FE" w:rsidRPr="00F60642" w:rsidRDefault="00AA37FE" w:rsidP="00AA37FE">
            <w:pPr>
              <w:spacing w:after="0" w:line="240" w:lineRule="auto"/>
              <w:jc w:val="center"/>
              <w:rPr>
                <w:rFonts w:eastAsia="Times New Roman" w:cs="Times New Roman"/>
                <w:b/>
                <w:bCs/>
                <w:color w:val="44546A"/>
                <w:kern w:val="0"/>
                <w:sz w:val="20"/>
                <w:szCs w:val="20"/>
                <w:lang w:eastAsia="en-GB"/>
                <w14:ligatures w14:val="none"/>
              </w:rPr>
            </w:pPr>
            <w:r>
              <w:rPr>
                <w:b/>
                <w:bCs/>
                <w:color w:val="44546A"/>
              </w:rPr>
              <w:t>373,500</w:t>
            </w:r>
          </w:p>
        </w:tc>
      </w:tr>
      <w:tr w:rsidR="00AA37FE" w:rsidRPr="001A48C0" w14:paraId="452A8C60" w14:textId="77777777" w:rsidTr="00AA37FE">
        <w:trPr>
          <w:trHeight w:val="516"/>
        </w:trPr>
        <w:tc>
          <w:tcPr>
            <w:tcW w:w="1431" w:type="dxa"/>
            <w:tcBorders>
              <w:top w:val="nil"/>
              <w:left w:val="single" w:sz="8" w:space="0" w:color="auto"/>
              <w:bottom w:val="single" w:sz="8" w:space="0" w:color="auto"/>
              <w:right w:val="single" w:sz="8" w:space="0" w:color="auto"/>
            </w:tcBorders>
            <w:vAlign w:val="center"/>
            <w:hideMark/>
          </w:tcPr>
          <w:p w14:paraId="672BED8E" w14:textId="77777777" w:rsidR="00AA37FE" w:rsidRPr="00F60642" w:rsidRDefault="00AA37FE" w:rsidP="00AA37FE">
            <w:pPr>
              <w:spacing w:after="0" w:line="240" w:lineRule="auto"/>
              <w:jc w:val="both"/>
              <w:rPr>
                <w:rFonts w:eastAsia="Times New Roman" w:cs="Times New Roman"/>
                <w:b/>
                <w:bCs/>
                <w:color w:val="44546A"/>
                <w:kern w:val="0"/>
                <w:sz w:val="20"/>
                <w:szCs w:val="20"/>
                <w:lang w:eastAsia="en-GB"/>
                <w14:ligatures w14:val="none"/>
              </w:rPr>
            </w:pPr>
            <w:r w:rsidRPr="00F60642">
              <w:rPr>
                <w:rFonts w:eastAsia="Times New Roman" w:cs="Times New Roman"/>
                <w:b/>
                <w:bCs/>
                <w:color w:val="44546A" w:themeColor="text2"/>
                <w:kern w:val="0"/>
                <w:sz w:val="20"/>
                <w:szCs w:val="20"/>
                <w:lang w:eastAsia="en-GB"/>
                <w14:ligatures w14:val="none"/>
              </w:rPr>
              <w:t>Total</w:t>
            </w:r>
          </w:p>
        </w:tc>
        <w:tc>
          <w:tcPr>
            <w:tcW w:w="1366" w:type="dxa"/>
            <w:tcBorders>
              <w:top w:val="nil"/>
              <w:left w:val="nil"/>
              <w:bottom w:val="single" w:sz="8" w:space="0" w:color="auto"/>
              <w:right w:val="single" w:sz="8" w:space="0" w:color="auto"/>
            </w:tcBorders>
            <w:vAlign w:val="center"/>
            <w:hideMark/>
          </w:tcPr>
          <w:p w14:paraId="1B45460B" w14:textId="77777777" w:rsidR="00AA37FE" w:rsidRPr="00F60642" w:rsidRDefault="00AA37FE" w:rsidP="00AA37FE">
            <w:pPr>
              <w:spacing w:after="0" w:line="240" w:lineRule="auto"/>
              <w:jc w:val="center"/>
              <w:rPr>
                <w:rFonts w:eastAsia="Times New Roman" w:cs="Times New Roman"/>
                <w:b/>
                <w:bCs/>
                <w:color w:val="44546A"/>
                <w:kern w:val="0"/>
                <w:sz w:val="20"/>
                <w:szCs w:val="20"/>
                <w:lang w:eastAsia="en-GB"/>
                <w14:ligatures w14:val="none"/>
              </w:rPr>
            </w:pPr>
            <w:r w:rsidRPr="00F60642">
              <w:rPr>
                <w:rFonts w:eastAsia="Times New Roman" w:cs="Times New Roman"/>
                <w:b/>
                <w:bCs/>
                <w:color w:val="44546A"/>
                <w:kern w:val="0"/>
                <w:sz w:val="20"/>
                <w:szCs w:val="20"/>
                <w:lang w:eastAsia="en-GB"/>
                <w14:ligatures w14:val="none"/>
              </w:rPr>
              <w:t>211,318</w:t>
            </w:r>
          </w:p>
        </w:tc>
        <w:tc>
          <w:tcPr>
            <w:tcW w:w="1366" w:type="dxa"/>
            <w:tcBorders>
              <w:top w:val="nil"/>
              <w:left w:val="nil"/>
              <w:bottom w:val="single" w:sz="8" w:space="0" w:color="auto"/>
              <w:right w:val="single" w:sz="8" w:space="0" w:color="auto"/>
            </w:tcBorders>
            <w:vAlign w:val="center"/>
            <w:hideMark/>
          </w:tcPr>
          <w:p w14:paraId="4B9CC539" w14:textId="77777777" w:rsidR="00AA37FE" w:rsidRPr="00F60642" w:rsidRDefault="00AA37FE" w:rsidP="00AA37FE">
            <w:pPr>
              <w:spacing w:after="0" w:line="240" w:lineRule="auto"/>
              <w:jc w:val="center"/>
              <w:rPr>
                <w:rFonts w:eastAsia="Times New Roman" w:cs="Times New Roman"/>
                <w:b/>
                <w:bCs/>
                <w:color w:val="44546A"/>
                <w:kern w:val="0"/>
                <w:sz w:val="20"/>
                <w:szCs w:val="20"/>
                <w:lang w:eastAsia="en-GB"/>
                <w14:ligatures w14:val="none"/>
              </w:rPr>
            </w:pPr>
            <w:r w:rsidRPr="00F60642">
              <w:rPr>
                <w:rFonts w:eastAsia="Times New Roman" w:cs="Times New Roman"/>
                <w:b/>
                <w:bCs/>
                <w:color w:val="44546A"/>
                <w:kern w:val="0"/>
                <w:sz w:val="20"/>
                <w:szCs w:val="20"/>
                <w:lang w:eastAsia="en-GB"/>
                <w14:ligatures w14:val="none"/>
              </w:rPr>
              <w:t>212,373</w:t>
            </w:r>
          </w:p>
        </w:tc>
        <w:tc>
          <w:tcPr>
            <w:tcW w:w="1367" w:type="dxa"/>
            <w:tcBorders>
              <w:top w:val="nil"/>
              <w:left w:val="nil"/>
              <w:bottom w:val="single" w:sz="8" w:space="0" w:color="auto"/>
              <w:right w:val="single" w:sz="8" w:space="0" w:color="auto"/>
            </w:tcBorders>
            <w:vAlign w:val="center"/>
            <w:hideMark/>
          </w:tcPr>
          <w:p w14:paraId="58470282" w14:textId="77777777" w:rsidR="00AA37FE" w:rsidRPr="00F60642" w:rsidRDefault="00AA37FE" w:rsidP="00AA37FE">
            <w:pPr>
              <w:spacing w:after="0" w:line="240" w:lineRule="auto"/>
              <w:jc w:val="center"/>
              <w:rPr>
                <w:rFonts w:eastAsia="Times New Roman" w:cs="Times New Roman"/>
                <w:b/>
                <w:bCs/>
                <w:color w:val="44546A"/>
                <w:kern w:val="0"/>
                <w:sz w:val="20"/>
                <w:szCs w:val="20"/>
                <w:lang w:eastAsia="en-GB"/>
                <w14:ligatures w14:val="none"/>
              </w:rPr>
            </w:pPr>
            <w:r w:rsidRPr="00F60642">
              <w:rPr>
                <w:rFonts w:eastAsia="Times New Roman" w:cs="Times New Roman"/>
                <w:b/>
                <w:bCs/>
                <w:color w:val="44546A"/>
                <w:kern w:val="0"/>
                <w:sz w:val="20"/>
                <w:szCs w:val="20"/>
                <w:lang w:eastAsia="en-GB"/>
                <w14:ligatures w14:val="none"/>
              </w:rPr>
              <w:t>217,831</w:t>
            </w:r>
          </w:p>
        </w:tc>
        <w:tc>
          <w:tcPr>
            <w:tcW w:w="1366" w:type="dxa"/>
            <w:tcBorders>
              <w:top w:val="nil"/>
              <w:left w:val="nil"/>
              <w:bottom w:val="single" w:sz="8" w:space="0" w:color="auto"/>
              <w:right w:val="single" w:sz="8" w:space="0" w:color="auto"/>
            </w:tcBorders>
            <w:vAlign w:val="center"/>
            <w:hideMark/>
          </w:tcPr>
          <w:p w14:paraId="37381729" w14:textId="77777777" w:rsidR="00AA37FE" w:rsidRPr="00F60642" w:rsidRDefault="00AA37FE" w:rsidP="00AA37FE">
            <w:pPr>
              <w:spacing w:after="0" w:line="240" w:lineRule="auto"/>
              <w:jc w:val="center"/>
              <w:rPr>
                <w:rFonts w:eastAsia="Times New Roman" w:cs="Times New Roman"/>
                <w:b/>
                <w:bCs/>
                <w:color w:val="44546A"/>
                <w:kern w:val="0"/>
                <w:sz w:val="20"/>
                <w:szCs w:val="20"/>
                <w:lang w:eastAsia="en-GB"/>
                <w14:ligatures w14:val="none"/>
              </w:rPr>
            </w:pPr>
            <w:r w:rsidRPr="00F60642">
              <w:rPr>
                <w:rFonts w:eastAsia="Times New Roman" w:cs="Times New Roman"/>
                <w:b/>
                <w:bCs/>
                <w:color w:val="44546A"/>
                <w:kern w:val="0"/>
                <w:sz w:val="20"/>
                <w:szCs w:val="20"/>
                <w:lang w:eastAsia="en-GB"/>
                <w14:ligatures w14:val="none"/>
              </w:rPr>
              <w:t>166,794</w:t>
            </w:r>
          </w:p>
        </w:tc>
        <w:tc>
          <w:tcPr>
            <w:tcW w:w="1366" w:type="dxa"/>
            <w:tcBorders>
              <w:top w:val="nil"/>
              <w:left w:val="nil"/>
              <w:bottom w:val="single" w:sz="8" w:space="0" w:color="auto"/>
              <w:right w:val="single" w:sz="8" w:space="0" w:color="auto"/>
            </w:tcBorders>
            <w:vAlign w:val="center"/>
            <w:hideMark/>
          </w:tcPr>
          <w:p w14:paraId="7DDD42E1" w14:textId="77777777" w:rsidR="00AA37FE" w:rsidRPr="00F60642" w:rsidRDefault="00AA37FE" w:rsidP="00AA37FE">
            <w:pPr>
              <w:spacing w:after="0" w:line="240" w:lineRule="auto"/>
              <w:jc w:val="center"/>
              <w:rPr>
                <w:rFonts w:eastAsia="Times New Roman" w:cs="Times New Roman"/>
                <w:b/>
                <w:bCs/>
                <w:color w:val="44546A"/>
                <w:kern w:val="0"/>
                <w:sz w:val="20"/>
                <w:szCs w:val="20"/>
                <w:lang w:eastAsia="en-GB"/>
                <w14:ligatures w14:val="none"/>
              </w:rPr>
            </w:pPr>
            <w:r w:rsidRPr="00F60642">
              <w:rPr>
                <w:rFonts w:eastAsia="Times New Roman" w:cs="Times New Roman"/>
                <w:b/>
                <w:bCs/>
                <w:color w:val="44546A"/>
                <w:kern w:val="0"/>
                <w:sz w:val="20"/>
                <w:szCs w:val="20"/>
                <w:lang w:eastAsia="en-GB"/>
                <w14:ligatures w14:val="none"/>
              </w:rPr>
              <w:t>159,936</w:t>
            </w:r>
          </w:p>
        </w:tc>
        <w:tc>
          <w:tcPr>
            <w:tcW w:w="1367" w:type="dxa"/>
            <w:tcBorders>
              <w:top w:val="nil"/>
              <w:left w:val="nil"/>
              <w:bottom w:val="single" w:sz="8" w:space="0" w:color="auto"/>
              <w:right w:val="single" w:sz="8" w:space="0" w:color="auto"/>
            </w:tcBorders>
            <w:vAlign w:val="center"/>
            <w:hideMark/>
          </w:tcPr>
          <w:p w14:paraId="2C5B9A6A" w14:textId="77777777" w:rsidR="00AA37FE" w:rsidRPr="00F60642" w:rsidRDefault="00AA37FE" w:rsidP="00AA37FE">
            <w:pPr>
              <w:spacing w:after="0" w:line="240" w:lineRule="auto"/>
              <w:jc w:val="center"/>
              <w:rPr>
                <w:rFonts w:eastAsia="Times New Roman" w:cs="Times New Roman"/>
                <w:b/>
                <w:bCs/>
                <w:color w:val="44546A"/>
                <w:kern w:val="0"/>
                <w:sz w:val="20"/>
                <w:szCs w:val="20"/>
                <w:lang w:eastAsia="en-GB"/>
                <w14:ligatures w14:val="none"/>
              </w:rPr>
            </w:pPr>
            <w:r w:rsidRPr="00F60642">
              <w:rPr>
                <w:rFonts w:eastAsia="Times New Roman" w:cs="Times New Roman"/>
                <w:b/>
                <w:bCs/>
                <w:color w:val="44546A"/>
                <w:kern w:val="0"/>
                <w:sz w:val="20"/>
                <w:szCs w:val="20"/>
                <w:lang w:eastAsia="en-GB"/>
                <w14:ligatures w14:val="none"/>
              </w:rPr>
              <w:t>155,669</w:t>
            </w:r>
          </w:p>
        </w:tc>
        <w:tc>
          <w:tcPr>
            <w:tcW w:w="1401" w:type="dxa"/>
            <w:tcBorders>
              <w:top w:val="nil"/>
              <w:left w:val="nil"/>
              <w:bottom w:val="single" w:sz="8" w:space="0" w:color="auto"/>
              <w:right w:val="single" w:sz="8" w:space="0" w:color="auto"/>
            </w:tcBorders>
            <w:vAlign w:val="center"/>
            <w:hideMark/>
          </w:tcPr>
          <w:p w14:paraId="513FA4E8" w14:textId="354E7B77" w:rsidR="00AA37FE" w:rsidRPr="00F60642" w:rsidRDefault="00AA37FE" w:rsidP="00AA37FE">
            <w:pPr>
              <w:spacing w:after="0" w:line="240" w:lineRule="auto"/>
              <w:jc w:val="center"/>
              <w:rPr>
                <w:rFonts w:eastAsia="Times New Roman" w:cs="Times New Roman"/>
                <w:b/>
                <w:bCs/>
                <w:color w:val="44546A"/>
                <w:kern w:val="0"/>
                <w:sz w:val="20"/>
                <w:szCs w:val="20"/>
                <w:lang w:eastAsia="en-GB"/>
                <w14:ligatures w14:val="none"/>
              </w:rPr>
            </w:pPr>
            <w:r>
              <w:rPr>
                <w:b/>
                <w:bCs/>
                <w:color w:val="44546A"/>
              </w:rPr>
              <w:t>349,058</w:t>
            </w:r>
          </w:p>
        </w:tc>
        <w:tc>
          <w:tcPr>
            <w:tcW w:w="1331" w:type="dxa"/>
            <w:tcBorders>
              <w:top w:val="nil"/>
              <w:left w:val="nil"/>
              <w:bottom w:val="single" w:sz="8" w:space="0" w:color="auto"/>
              <w:right w:val="single" w:sz="8" w:space="0" w:color="auto"/>
            </w:tcBorders>
            <w:vAlign w:val="center"/>
            <w:hideMark/>
          </w:tcPr>
          <w:p w14:paraId="11A62E4D" w14:textId="0FB45738" w:rsidR="00AA37FE" w:rsidRPr="00F60642" w:rsidRDefault="00AA37FE" w:rsidP="00AA37FE">
            <w:pPr>
              <w:spacing w:after="0" w:line="240" w:lineRule="auto"/>
              <w:jc w:val="center"/>
              <w:rPr>
                <w:rFonts w:eastAsia="Times New Roman" w:cs="Times New Roman"/>
                <w:b/>
                <w:bCs/>
                <w:color w:val="44546A"/>
                <w:kern w:val="0"/>
                <w:sz w:val="20"/>
                <w:szCs w:val="20"/>
                <w:lang w:eastAsia="en-GB"/>
                <w14:ligatures w14:val="none"/>
              </w:rPr>
            </w:pPr>
            <w:r>
              <w:rPr>
                <w:b/>
                <w:bCs/>
                <w:color w:val="44546A"/>
              </w:rPr>
              <w:t>369,756</w:t>
            </w:r>
          </w:p>
        </w:tc>
        <w:tc>
          <w:tcPr>
            <w:tcW w:w="1367" w:type="dxa"/>
            <w:tcBorders>
              <w:top w:val="nil"/>
              <w:left w:val="nil"/>
              <w:bottom w:val="single" w:sz="8" w:space="0" w:color="auto"/>
              <w:right w:val="single" w:sz="8" w:space="0" w:color="auto"/>
            </w:tcBorders>
            <w:vAlign w:val="center"/>
            <w:hideMark/>
          </w:tcPr>
          <w:p w14:paraId="2F4B0788" w14:textId="77351B63" w:rsidR="00AA37FE" w:rsidRPr="00F60642" w:rsidRDefault="00AA37FE" w:rsidP="00AA37FE">
            <w:pPr>
              <w:spacing w:after="0" w:line="240" w:lineRule="auto"/>
              <w:jc w:val="center"/>
              <w:rPr>
                <w:rFonts w:eastAsia="Times New Roman" w:cs="Times New Roman"/>
                <w:b/>
                <w:bCs/>
                <w:color w:val="44546A"/>
                <w:kern w:val="0"/>
                <w:sz w:val="20"/>
                <w:szCs w:val="20"/>
                <w:lang w:eastAsia="en-GB"/>
                <w14:ligatures w14:val="none"/>
              </w:rPr>
            </w:pPr>
            <w:r>
              <w:rPr>
                <w:b/>
                <w:bCs/>
                <w:color w:val="44546A"/>
              </w:rPr>
              <w:t>373,500</w:t>
            </w:r>
          </w:p>
        </w:tc>
      </w:tr>
    </w:tbl>
    <w:p w14:paraId="7167C5CE" w14:textId="204BDFE2" w:rsidR="002D5EF7" w:rsidRPr="00DA35A0" w:rsidRDefault="002D5EF7">
      <w:pPr>
        <w:rPr>
          <w:color w:val="44546A" w:themeColor="text2"/>
        </w:rPr>
        <w:sectPr w:rsidR="002D5EF7" w:rsidRPr="00DA35A0" w:rsidSect="00DA35A0">
          <w:headerReference w:type="default" r:id="rId16"/>
          <w:footnotePr>
            <w:numRestart w:val="eachPage"/>
          </w:footnotePr>
          <w:pgSz w:w="16838" w:h="11906" w:orient="landscape"/>
          <w:pgMar w:top="1440" w:right="1440" w:bottom="1440" w:left="1440" w:header="737" w:footer="708" w:gutter="0"/>
          <w:cols w:space="708"/>
          <w:docGrid w:linePitch="360"/>
        </w:sectPr>
      </w:pPr>
    </w:p>
    <w:p w14:paraId="48E47BF6" w14:textId="2F58B3D3" w:rsidR="0030530B" w:rsidRPr="00D14A98" w:rsidRDefault="003A778D" w:rsidP="00D14A98">
      <w:pPr>
        <w:pStyle w:val="Heading1"/>
      </w:pPr>
      <w:bookmarkStart w:id="41" w:name="_Toc194670390"/>
      <w:r w:rsidRPr="00395A39">
        <w:lastRenderedPageBreak/>
        <w:t xml:space="preserve">Appendix </w:t>
      </w:r>
      <w:r w:rsidR="00D14A98">
        <w:t>4</w:t>
      </w:r>
      <w:r w:rsidRPr="00395A39">
        <w:t xml:space="preserve"> </w:t>
      </w:r>
      <w:r w:rsidR="00B138FA">
        <w:t>–</w:t>
      </w:r>
      <w:r w:rsidRPr="00395A39">
        <w:t xml:space="preserve"> </w:t>
      </w:r>
      <w:r w:rsidR="0030530B" w:rsidRPr="00395A39">
        <w:t>Reference</w:t>
      </w:r>
      <w:r w:rsidRPr="00395A39">
        <w:t>s</w:t>
      </w:r>
      <w:bookmarkEnd w:id="41"/>
    </w:p>
    <w:p w14:paraId="7F1058AB" w14:textId="77777777" w:rsidR="00B138FA" w:rsidRPr="00B138FA" w:rsidRDefault="00B138FA" w:rsidP="00B138FA">
      <w:pPr>
        <w:rPr>
          <w:lang w:val="en-CA"/>
        </w:rPr>
      </w:pPr>
    </w:p>
    <w:p w14:paraId="069ADFDC" w14:textId="77777777" w:rsidR="00641D27" w:rsidRPr="008F0D85" w:rsidRDefault="00641D27" w:rsidP="00641D27">
      <w:pPr>
        <w:pStyle w:val="ListParagraph"/>
        <w:numPr>
          <w:ilvl w:val="0"/>
          <w:numId w:val="7"/>
        </w:numPr>
        <w:rPr>
          <w:rStyle w:val="Hyperlink"/>
          <w:color w:val="44546A" w:themeColor="text2"/>
          <w:sz w:val="20"/>
          <w:szCs w:val="20"/>
          <w:u w:val="none"/>
        </w:rPr>
      </w:pPr>
      <w:r w:rsidRPr="008F0D85">
        <w:rPr>
          <w:color w:val="44546A" w:themeColor="text2"/>
          <w:sz w:val="20"/>
          <w:szCs w:val="20"/>
        </w:rPr>
        <w:t>Brander, Matthew, et al (2011). ‘Electricity-Specific Emission Factors for Grid Electricity’,</w:t>
      </w:r>
      <w:r w:rsidRPr="008F0D85">
        <w:rPr>
          <w:color w:val="44546A" w:themeColor="text2"/>
          <w:sz w:val="20"/>
          <w:szCs w:val="20"/>
        </w:rPr>
        <w:br/>
      </w:r>
      <w:hyperlink r:id="rId17" w:history="1">
        <w:r w:rsidRPr="008F0D85">
          <w:rPr>
            <w:rStyle w:val="Hyperlink"/>
            <w:color w:val="44546A" w:themeColor="text2"/>
            <w:sz w:val="20"/>
            <w:szCs w:val="20"/>
          </w:rPr>
          <w:t>https://ecometrica.com/assets/Electricity-specific-emission-factors-for-grid-electricity.pdf</w:t>
        </w:r>
      </w:hyperlink>
    </w:p>
    <w:p w14:paraId="1A6E2EE7" w14:textId="77777777" w:rsidR="00641D27" w:rsidRPr="008F0D85" w:rsidRDefault="00641D27" w:rsidP="00641D27">
      <w:pPr>
        <w:pStyle w:val="ListParagraph"/>
        <w:rPr>
          <w:color w:val="44546A" w:themeColor="text2"/>
          <w:sz w:val="20"/>
          <w:szCs w:val="20"/>
        </w:rPr>
      </w:pPr>
    </w:p>
    <w:p w14:paraId="4742E42D" w14:textId="78F761E4" w:rsidR="00641D27" w:rsidRPr="008F0D85" w:rsidRDefault="00641D27" w:rsidP="00801D97">
      <w:pPr>
        <w:pStyle w:val="ListParagraph"/>
        <w:numPr>
          <w:ilvl w:val="0"/>
          <w:numId w:val="7"/>
        </w:numPr>
        <w:rPr>
          <w:rStyle w:val="Hyperlink"/>
          <w:color w:val="44546A" w:themeColor="text2"/>
          <w:sz w:val="20"/>
          <w:szCs w:val="20"/>
          <w:u w:val="none"/>
        </w:rPr>
      </w:pPr>
      <w:bookmarkStart w:id="42" w:name="_Ref148554021"/>
      <w:r w:rsidRPr="00DA35A0">
        <w:rPr>
          <w:color w:val="44546A" w:themeColor="text2"/>
          <w:sz w:val="20"/>
          <w:szCs w:val="20"/>
        </w:rPr>
        <w:t>British Airways (</w:t>
      </w:r>
      <w:r w:rsidR="00350D80" w:rsidRPr="00350D80">
        <w:rPr>
          <w:color w:val="44546A" w:themeColor="text2"/>
          <w:sz w:val="20"/>
          <w:szCs w:val="20"/>
        </w:rPr>
        <w:t>2024</w:t>
      </w:r>
      <w:r w:rsidRPr="00DA35A0">
        <w:rPr>
          <w:color w:val="44546A" w:themeColor="text2"/>
          <w:sz w:val="20"/>
          <w:szCs w:val="20"/>
        </w:rPr>
        <w:t>), Estimate Your Carbon Emissions</w:t>
      </w:r>
      <w:r w:rsidR="00BD7765" w:rsidRPr="00DA35A0">
        <w:rPr>
          <w:color w:val="44546A" w:themeColor="text2"/>
          <w:sz w:val="20"/>
          <w:szCs w:val="20"/>
        </w:rPr>
        <w:t xml:space="preserve"> </w:t>
      </w:r>
      <w:r w:rsidR="00BD7765" w:rsidRPr="00DA35A0">
        <w:t xml:space="preserve"> </w:t>
      </w:r>
      <w:hyperlink r:id="rId18" w:history="1">
        <w:r w:rsidR="00BD7765" w:rsidRPr="008F0D85">
          <w:rPr>
            <w:rStyle w:val="Hyperlink"/>
            <w:color w:val="44546A" w:themeColor="text2"/>
            <w:sz w:val="20"/>
            <w:szCs w:val="20"/>
          </w:rPr>
          <w:t>https://ba.chooose.today/</w:t>
        </w:r>
      </w:hyperlink>
      <w:r w:rsidR="00BD7765" w:rsidRPr="008F0D85">
        <w:rPr>
          <w:rStyle w:val="Hyperlink"/>
          <w:color w:val="44546A" w:themeColor="text2"/>
          <w:sz w:val="20"/>
          <w:szCs w:val="20"/>
        </w:rPr>
        <w:t xml:space="preserve"> </w:t>
      </w:r>
      <w:bookmarkStart w:id="43" w:name="_Ref148555319"/>
      <w:bookmarkEnd w:id="42"/>
    </w:p>
    <w:p w14:paraId="6C38606C" w14:textId="77777777" w:rsidR="00641D27" w:rsidRPr="008F0D85" w:rsidRDefault="00641D27" w:rsidP="00641D27">
      <w:pPr>
        <w:pStyle w:val="ListParagraph"/>
        <w:rPr>
          <w:color w:val="44546A" w:themeColor="text2"/>
          <w:sz w:val="20"/>
          <w:szCs w:val="20"/>
        </w:rPr>
      </w:pPr>
    </w:p>
    <w:p w14:paraId="09B851F0" w14:textId="565CF57F" w:rsidR="00641D27" w:rsidRPr="008F0D85" w:rsidRDefault="00641D27" w:rsidP="00801D97">
      <w:pPr>
        <w:pStyle w:val="ListParagraph"/>
        <w:numPr>
          <w:ilvl w:val="0"/>
          <w:numId w:val="7"/>
        </w:numPr>
        <w:rPr>
          <w:color w:val="44546A" w:themeColor="text2"/>
          <w:sz w:val="20"/>
          <w:szCs w:val="20"/>
        </w:rPr>
      </w:pPr>
      <w:r w:rsidRPr="008F0D85">
        <w:rPr>
          <w:color w:val="44546A" w:themeColor="text2"/>
          <w:sz w:val="20"/>
          <w:szCs w:val="20"/>
        </w:rPr>
        <w:t>Bureau of International Recycling (2008), ‘Report on the Environmental Benefits of Recycling’.</w:t>
      </w:r>
      <w:r w:rsidRPr="008F0D85">
        <w:rPr>
          <w:color w:val="44546A" w:themeColor="text2"/>
          <w:sz w:val="20"/>
          <w:szCs w:val="20"/>
        </w:rPr>
        <w:br/>
      </w:r>
      <w:hyperlink r:id="rId19" w:history="1">
        <w:r w:rsidRPr="008F0D85">
          <w:rPr>
            <w:rStyle w:val="Hyperlink"/>
            <w:color w:val="44546A" w:themeColor="text2"/>
            <w:sz w:val="20"/>
            <w:szCs w:val="20"/>
          </w:rPr>
          <w:t>https://www.mgg-recycling.com/wp-content/uploads/2013/06/BIR_CO2_report.pdf</w:t>
        </w:r>
      </w:hyperlink>
      <w:bookmarkEnd w:id="43"/>
    </w:p>
    <w:p w14:paraId="53DBC5C4" w14:textId="77777777" w:rsidR="00641D27" w:rsidRPr="008F0D85" w:rsidRDefault="00641D27" w:rsidP="00641D27">
      <w:pPr>
        <w:pStyle w:val="ListParagraph"/>
        <w:rPr>
          <w:color w:val="44546A" w:themeColor="text2"/>
          <w:sz w:val="20"/>
          <w:szCs w:val="20"/>
        </w:rPr>
      </w:pPr>
      <w:bookmarkStart w:id="44" w:name="_Ref148554794"/>
    </w:p>
    <w:p w14:paraId="6018C71C" w14:textId="363B1C86" w:rsidR="00323F06" w:rsidRPr="00863925" w:rsidRDefault="00323F06" w:rsidP="00323F06">
      <w:pPr>
        <w:pStyle w:val="ListParagraph"/>
        <w:numPr>
          <w:ilvl w:val="0"/>
          <w:numId w:val="7"/>
        </w:numPr>
        <w:rPr>
          <w:color w:val="44546A" w:themeColor="text2"/>
          <w:sz w:val="20"/>
          <w:szCs w:val="20"/>
        </w:rPr>
      </w:pPr>
      <w:r w:rsidRPr="00DA35A0">
        <w:rPr>
          <w:color w:val="44546A" w:themeColor="text2"/>
          <w:sz w:val="20"/>
          <w:szCs w:val="20"/>
        </w:rPr>
        <w:t>Carbon Disclosure Project (2023), ‘CDP Technical Note: Relevance of Scope 3 Categories by Sector’</w:t>
      </w:r>
      <w:r>
        <w:rPr>
          <w:color w:val="44546A" w:themeColor="text2"/>
          <w:sz w:val="20"/>
          <w:szCs w:val="20"/>
        </w:rPr>
        <w:t xml:space="preserve"> </w:t>
      </w:r>
      <w:hyperlink r:id="rId20" w:history="1">
        <w:r w:rsidRPr="00DA35A0">
          <w:rPr>
            <w:rStyle w:val="Hyperlink"/>
            <w:color w:val="44546A" w:themeColor="text2"/>
            <w:sz w:val="20"/>
            <w:szCs w:val="20"/>
          </w:rPr>
          <w:t>https://cdn.cdp.net/cdp-production/cms/guidance_docs/pdfs/000/003/504/original/CDP-technical-note-scope-3-relevance-by-sector.pdf</w:t>
        </w:r>
      </w:hyperlink>
    </w:p>
    <w:p w14:paraId="5F23AAD9" w14:textId="77777777" w:rsidR="00323F06" w:rsidRPr="00863925" w:rsidRDefault="00323F06" w:rsidP="00863925">
      <w:pPr>
        <w:pStyle w:val="ListParagraph"/>
        <w:rPr>
          <w:color w:val="44546A" w:themeColor="text2"/>
          <w:sz w:val="20"/>
          <w:szCs w:val="20"/>
        </w:rPr>
      </w:pPr>
    </w:p>
    <w:p w14:paraId="07A4FA51" w14:textId="4BFC94C1" w:rsidR="00323F06" w:rsidRPr="00863925" w:rsidRDefault="00323F06" w:rsidP="00323F06">
      <w:pPr>
        <w:pStyle w:val="ListParagraph"/>
        <w:numPr>
          <w:ilvl w:val="0"/>
          <w:numId w:val="7"/>
        </w:numPr>
        <w:rPr>
          <w:color w:val="44546A" w:themeColor="text2"/>
          <w:sz w:val="20"/>
          <w:szCs w:val="20"/>
        </w:rPr>
      </w:pPr>
      <w:r w:rsidRPr="009E78FC">
        <w:rPr>
          <w:color w:val="44546A" w:themeColor="text2"/>
          <w:sz w:val="20"/>
          <w:szCs w:val="20"/>
        </w:rPr>
        <w:t>Carbon Footprints of Teck Special High Grade Zinc and Continuous Galvanizing Grade Zinc (2023</w:t>
      </w:r>
      <w:r>
        <w:rPr>
          <w:color w:val="44546A" w:themeColor="text2"/>
          <w:sz w:val="20"/>
          <w:szCs w:val="20"/>
        </w:rPr>
        <w:t xml:space="preserve">) </w:t>
      </w:r>
      <w:hyperlink r:id="rId21" w:history="1">
        <w:r w:rsidRPr="009E78FC">
          <w:rPr>
            <w:rStyle w:val="Hyperlink"/>
            <w:color w:val="44546A" w:themeColor="text2"/>
            <w:sz w:val="20"/>
            <w:szCs w:val="20"/>
          </w:rPr>
          <w:t>Carbon-Footprint-of-Teck-Special-High-Grade-Zinc.pdf</w:t>
        </w:r>
      </w:hyperlink>
    </w:p>
    <w:p w14:paraId="319B6B18" w14:textId="77777777" w:rsidR="00323F06" w:rsidRPr="00863925" w:rsidRDefault="00323F06" w:rsidP="00863925">
      <w:pPr>
        <w:pStyle w:val="ListParagraph"/>
        <w:rPr>
          <w:color w:val="44546A" w:themeColor="text2"/>
          <w:sz w:val="20"/>
          <w:szCs w:val="20"/>
        </w:rPr>
      </w:pPr>
    </w:p>
    <w:p w14:paraId="58D6EEF7" w14:textId="11A773F9" w:rsidR="00641D27" w:rsidRPr="008F0D85" w:rsidRDefault="00641D27" w:rsidP="00641D27">
      <w:pPr>
        <w:pStyle w:val="ListParagraph"/>
        <w:numPr>
          <w:ilvl w:val="0"/>
          <w:numId w:val="7"/>
        </w:numPr>
        <w:rPr>
          <w:color w:val="44546A" w:themeColor="text2"/>
          <w:sz w:val="20"/>
          <w:szCs w:val="20"/>
        </w:rPr>
      </w:pPr>
      <w:r w:rsidRPr="008F0D85">
        <w:rPr>
          <w:color w:val="44546A" w:themeColor="text2"/>
          <w:sz w:val="20"/>
          <w:szCs w:val="20"/>
        </w:rPr>
        <w:t>Davidson, Alistair, et al (2016). ‘Environmental Impact and LCA Of Lead Battery and Architectural Sheet Production’,</w:t>
      </w:r>
      <w:r w:rsidRPr="008F0D85">
        <w:rPr>
          <w:color w:val="44546A" w:themeColor="text2"/>
          <w:sz w:val="20"/>
          <w:szCs w:val="20"/>
        </w:rPr>
        <w:br/>
      </w:r>
      <w:hyperlink r:id="rId22" w:history="1">
        <w:r w:rsidRPr="008F0D85">
          <w:rPr>
            <w:rStyle w:val="Hyperlink"/>
            <w:color w:val="44546A" w:themeColor="text2"/>
            <w:sz w:val="20"/>
            <w:szCs w:val="20"/>
          </w:rPr>
          <w:t>https://link.springer.com/article/10.1007/s11367-015-1021-5</w:t>
        </w:r>
      </w:hyperlink>
      <w:bookmarkEnd w:id="44"/>
    </w:p>
    <w:p w14:paraId="051F04C9" w14:textId="77777777" w:rsidR="00641D27" w:rsidRPr="008F0D85" w:rsidRDefault="00641D27" w:rsidP="00641D27">
      <w:pPr>
        <w:pStyle w:val="ListParagraph"/>
        <w:rPr>
          <w:color w:val="44546A" w:themeColor="text2"/>
          <w:sz w:val="20"/>
          <w:szCs w:val="20"/>
        </w:rPr>
      </w:pPr>
      <w:bookmarkStart w:id="45" w:name="_Ref148553901"/>
    </w:p>
    <w:p w14:paraId="63F7D489" w14:textId="74BA48D6" w:rsidR="00641D27" w:rsidRPr="008F0D85" w:rsidRDefault="00641D27" w:rsidP="00641D27">
      <w:pPr>
        <w:pStyle w:val="ListParagraph"/>
        <w:numPr>
          <w:ilvl w:val="0"/>
          <w:numId w:val="7"/>
        </w:numPr>
        <w:rPr>
          <w:color w:val="44546A" w:themeColor="text2"/>
          <w:sz w:val="20"/>
          <w:szCs w:val="20"/>
        </w:rPr>
      </w:pPr>
      <w:r w:rsidRPr="008F0D85">
        <w:rPr>
          <w:color w:val="44546A" w:themeColor="text2"/>
          <w:sz w:val="20"/>
          <w:szCs w:val="20"/>
        </w:rPr>
        <w:t>Department for Energy Security and Net Zero (202</w:t>
      </w:r>
      <w:r w:rsidR="00E869C9">
        <w:rPr>
          <w:color w:val="44546A" w:themeColor="text2"/>
          <w:sz w:val="20"/>
          <w:szCs w:val="20"/>
        </w:rPr>
        <w:t>4</w:t>
      </w:r>
      <w:r w:rsidRPr="008F0D85">
        <w:rPr>
          <w:color w:val="44546A" w:themeColor="text2"/>
          <w:sz w:val="20"/>
          <w:szCs w:val="20"/>
        </w:rPr>
        <w:t>), ‘</w:t>
      </w:r>
      <w:r w:rsidR="00E03D6B" w:rsidRPr="00E03D6B">
        <w:rPr>
          <w:color w:val="44546A" w:themeColor="text2"/>
          <w:sz w:val="20"/>
          <w:szCs w:val="20"/>
        </w:rPr>
        <w:t>2024 Government Greenhouse Gas (GHG) Conversion Factors for Company Reporting</w:t>
      </w:r>
      <w:r w:rsidR="00E5446B">
        <w:rPr>
          <w:color w:val="44546A" w:themeColor="text2"/>
          <w:sz w:val="20"/>
          <w:szCs w:val="20"/>
        </w:rPr>
        <w:t xml:space="preserve">’ </w:t>
      </w:r>
      <w:r w:rsidRPr="008F0D85">
        <w:rPr>
          <w:color w:val="44546A" w:themeColor="text2"/>
          <w:sz w:val="20"/>
          <w:szCs w:val="20"/>
        </w:rPr>
        <w:t xml:space="preserve">, </w:t>
      </w:r>
      <w:r w:rsidRPr="00AE654E">
        <w:rPr>
          <w:color w:val="44546A" w:themeColor="text2"/>
          <w:sz w:val="20"/>
          <w:szCs w:val="20"/>
        </w:rPr>
        <w:t>UK Govt.</w:t>
      </w:r>
      <w:r w:rsidRPr="008F0D85">
        <w:rPr>
          <w:color w:val="44546A" w:themeColor="text2"/>
          <w:sz w:val="20"/>
          <w:szCs w:val="20"/>
        </w:rPr>
        <w:t xml:space="preserve"> </w:t>
      </w:r>
      <w:r w:rsidRPr="008F0D85">
        <w:rPr>
          <w:color w:val="44546A" w:themeColor="text2"/>
          <w:sz w:val="20"/>
          <w:szCs w:val="20"/>
        </w:rPr>
        <w:br/>
      </w:r>
      <w:bookmarkStart w:id="46" w:name="_Hlk193193673"/>
      <w:r w:rsidR="00262B06" w:rsidRPr="00DA35A0">
        <w:rPr>
          <w:rStyle w:val="Hyperlink"/>
          <w:color w:val="44546A" w:themeColor="text2"/>
          <w:sz w:val="20"/>
          <w:szCs w:val="20"/>
        </w:rPr>
        <w:fldChar w:fldCharType="begin"/>
      </w:r>
      <w:r w:rsidR="00262B06" w:rsidRPr="001B7406">
        <w:rPr>
          <w:rStyle w:val="Hyperlink"/>
          <w:color w:val="44546A" w:themeColor="text2"/>
          <w:sz w:val="20"/>
          <w:szCs w:val="20"/>
        </w:rPr>
        <w:instrText>HYPERLINK "https://www.gov.uk/government/publications/greenhouse-gas-reporting-conversion-factors-2024"</w:instrText>
      </w:r>
      <w:r w:rsidR="00262B06" w:rsidRPr="00DA35A0">
        <w:rPr>
          <w:rStyle w:val="Hyperlink"/>
          <w:color w:val="44546A" w:themeColor="text2"/>
          <w:sz w:val="20"/>
          <w:szCs w:val="20"/>
        </w:rPr>
      </w:r>
      <w:r w:rsidR="00262B06" w:rsidRPr="00DA35A0">
        <w:rPr>
          <w:rStyle w:val="Hyperlink"/>
          <w:color w:val="44546A" w:themeColor="text2"/>
          <w:sz w:val="20"/>
          <w:szCs w:val="20"/>
        </w:rPr>
        <w:fldChar w:fldCharType="separate"/>
      </w:r>
      <w:r w:rsidR="00262B06" w:rsidRPr="00DA35A0">
        <w:rPr>
          <w:rStyle w:val="Hyperlink"/>
          <w:color w:val="44546A" w:themeColor="text2"/>
          <w:sz w:val="20"/>
          <w:szCs w:val="20"/>
        </w:rPr>
        <w:t>https://www.gov.uk/government/publications/greenhouse-gas-reporting-conversion-factors-2024</w:t>
      </w:r>
      <w:r w:rsidR="00262B06" w:rsidRPr="00DA35A0">
        <w:rPr>
          <w:rStyle w:val="Hyperlink"/>
          <w:color w:val="44546A" w:themeColor="text2"/>
          <w:sz w:val="20"/>
          <w:szCs w:val="20"/>
        </w:rPr>
        <w:fldChar w:fldCharType="end"/>
      </w:r>
      <w:bookmarkEnd w:id="45"/>
      <w:bookmarkEnd w:id="46"/>
    </w:p>
    <w:p w14:paraId="46F310E4" w14:textId="77777777" w:rsidR="00641D27" w:rsidRPr="008F0D85" w:rsidRDefault="00641D27" w:rsidP="00641D27">
      <w:pPr>
        <w:pStyle w:val="ListParagraph"/>
        <w:rPr>
          <w:color w:val="44546A" w:themeColor="text2"/>
          <w:sz w:val="20"/>
          <w:szCs w:val="20"/>
        </w:rPr>
      </w:pPr>
      <w:bookmarkStart w:id="47" w:name="_Ref148554086"/>
    </w:p>
    <w:p w14:paraId="0FBD7591" w14:textId="2321136D" w:rsidR="00641D27" w:rsidRPr="008F0D85" w:rsidRDefault="00641D27" w:rsidP="00641D27">
      <w:pPr>
        <w:pStyle w:val="ListParagraph"/>
        <w:numPr>
          <w:ilvl w:val="0"/>
          <w:numId w:val="7"/>
        </w:numPr>
        <w:rPr>
          <w:color w:val="44546A" w:themeColor="text2"/>
          <w:sz w:val="20"/>
          <w:szCs w:val="20"/>
        </w:rPr>
      </w:pPr>
      <w:r w:rsidRPr="008F0D85">
        <w:rPr>
          <w:color w:val="44546A" w:themeColor="text2"/>
          <w:sz w:val="20"/>
          <w:szCs w:val="20"/>
        </w:rPr>
        <w:t xml:space="preserve">Department for Transportation (2021), ‘Vehicle licensing statistics data tables’, UK Govt. </w:t>
      </w:r>
      <w:hyperlink r:id="rId23" w:history="1">
        <w:r w:rsidRPr="008F0D85">
          <w:rPr>
            <w:rStyle w:val="Hyperlink"/>
            <w:color w:val="44546A" w:themeColor="text2"/>
            <w:sz w:val="20"/>
            <w:szCs w:val="20"/>
          </w:rPr>
          <w:t>https://committees.parliament.uk/publications/7590/documents/79606/default/</w:t>
        </w:r>
      </w:hyperlink>
      <w:bookmarkEnd w:id="47"/>
    </w:p>
    <w:p w14:paraId="3735412D" w14:textId="77777777" w:rsidR="00641D27" w:rsidRPr="008F0D85" w:rsidRDefault="00641D27" w:rsidP="00641D27">
      <w:pPr>
        <w:pStyle w:val="ListParagraph"/>
        <w:rPr>
          <w:rStyle w:val="Hyperlink"/>
          <w:color w:val="44546A" w:themeColor="text2"/>
          <w:sz w:val="20"/>
          <w:szCs w:val="20"/>
        </w:rPr>
      </w:pPr>
      <w:bookmarkStart w:id="48" w:name="_Ref148554027"/>
    </w:p>
    <w:p w14:paraId="34D88226" w14:textId="298931DB" w:rsidR="00641D27" w:rsidRPr="00DA35A0" w:rsidRDefault="00641D27" w:rsidP="00801D97">
      <w:pPr>
        <w:pStyle w:val="ListParagraph"/>
        <w:numPr>
          <w:ilvl w:val="0"/>
          <w:numId w:val="7"/>
        </w:numPr>
        <w:rPr>
          <w:rStyle w:val="Hyperlink"/>
          <w:color w:val="44546A" w:themeColor="text2"/>
          <w:sz w:val="20"/>
          <w:szCs w:val="20"/>
        </w:rPr>
      </w:pPr>
      <w:r w:rsidRPr="00DA35A0">
        <w:rPr>
          <w:color w:val="44546A" w:themeColor="text2"/>
          <w:sz w:val="20"/>
          <w:szCs w:val="20"/>
        </w:rPr>
        <w:t>Easy Jet (202</w:t>
      </w:r>
      <w:r w:rsidR="00B32579" w:rsidRPr="00DA35A0">
        <w:rPr>
          <w:color w:val="44546A" w:themeColor="text2"/>
          <w:sz w:val="20"/>
          <w:szCs w:val="20"/>
        </w:rPr>
        <w:t>4</w:t>
      </w:r>
      <w:r w:rsidRPr="00DA35A0">
        <w:rPr>
          <w:color w:val="44546A" w:themeColor="text2"/>
          <w:sz w:val="20"/>
          <w:szCs w:val="20"/>
        </w:rPr>
        <w:t>), Calculate Footprint</w:t>
      </w:r>
      <w:r w:rsidR="009C5BE2" w:rsidRPr="008F0D85">
        <w:rPr>
          <w:color w:val="44546A" w:themeColor="text2"/>
        </w:rPr>
        <w:t xml:space="preserve"> </w:t>
      </w:r>
      <w:hyperlink r:id="rId24" w:history="1">
        <w:r w:rsidR="007E7F82" w:rsidRPr="00DA35A0">
          <w:rPr>
            <w:rStyle w:val="Hyperlink"/>
            <w:color w:val="44546A" w:themeColor="text2"/>
            <w:sz w:val="20"/>
            <w:szCs w:val="20"/>
          </w:rPr>
          <w:t>https://easyjet.southpole.com/</w:t>
        </w:r>
      </w:hyperlink>
      <w:r w:rsidR="009C5BE2" w:rsidRPr="00DA35A0">
        <w:rPr>
          <w:rStyle w:val="Hyperlink"/>
          <w:color w:val="44546A" w:themeColor="text2"/>
          <w:sz w:val="20"/>
          <w:szCs w:val="20"/>
        </w:rPr>
        <w:t xml:space="preserve"> </w:t>
      </w:r>
      <w:bookmarkEnd w:id="48"/>
    </w:p>
    <w:p w14:paraId="7105CE7C" w14:textId="77777777" w:rsidR="00641D27" w:rsidRPr="008F0D85" w:rsidRDefault="00641D27" w:rsidP="00641D27">
      <w:pPr>
        <w:pStyle w:val="ListParagraph"/>
        <w:rPr>
          <w:color w:val="44546A" w:themeColor="text2"/>
          <w:sz w:val="20"/>
          <w:szCs w:val="20"/>
        </w:rPr>
      </w:pPr>
    </w:p>
    <w:p w14:paraId="53D384C7" w14:textId="595B4914" w:rsidR="00BE42A2" w:rsidRPr="00863925" w:rsidRDefault="00BE42A2" w:rsidP="00BE42A2">
      <w:pPr>
        <w:pStyle w:val="ListParagraph"/>
        <w:numPr>
          <w:ilvl w:val="0"/>
          <w:numId w:val="7"/>
        </w:numPr>
        <w:rPr>
          <w:color w:val="44546A" w:themeColor="text2"/>
          <w:sz w:val="20"/>
          <w:szCs w:val="20"/>
        </w:rPr>
      </w:pPr>
      <w:r w:rsidRPr="00DA35A0">
        <w:rPr>
          <w:color w:val="44546A" w:themeColor="text2"/>
          <w:sz w:val="20"/>
          <w:szCs w:val="20"/>
        </w:rPr>
        <w:t xml:space="preserve">Greenhouse Gas Emission in </w:t>
      </w:r>
      <w:proofErr w:type="spellStart"/>
      <w:r w:rsidRPr="00DA35A0">
        <w:rPr>
          <w:color w:val="44546A" w:themeColor="text2"/>
          <w:sz w:val="20"/>
          <w:szCs w:val="20"/>
        </w:rPr>
        <w:t>Jewelry</w:t>
      </w:r>
      <w:proofErr w:type="spellEnd"/>
      <w:r w:rsidRPr="00DA35A0">
        <w:rPr>
          <w:color w:val="44546A" w:themeColor="text2"/>
          <w:sz w:val="20"/>
          <w:szCs w:val="20"/>
        </w:rPr>
        <w:t xml:space="preserve"> Industry: A Case Study of Silver Flat Ring (2016)</w:t>
      </w:r>
      <w:r w:rsidRPr="005B6B73">
        <w:rPr>
          <w:rStyle w:val="Hyperlink"/>
          <w:color w:val="44546A" w:themeColor="text2"/>
          <w:sz w:val="20"/>
          <w:szCs w:val="20"/>
        </w:rPr>
        <w:t xml:space="preserve"> </w:t>
      </w:r>
      <w:hyperlink r:id="rId25" w:history="1">
        <w:r w:rsidRPr="00A90351">
          <w:rPr>
            <w:rStyle w:val="Hyperlink"/>
            <w:color w:val="44546A" w:themeColor="text2"/>
            <w:sz w:val="20"/>
            <w:szCs w:val="20"/>
          </w:rPr>
          <w:t>https://www.thaiscience.info/Journals/Article/APER/10979994.pdf?form=MG0AV3</w:t>
        </w:r>
      </w:hyperlink>
    </w:p>
    <w:p w14:paraId="7499AC6B" w14:textId="77777777" w:rsidR="00BE42A2" w:rsidRPr="00863925" w:rsidRDefault="00BE42A2" w:rsidP="00863925">
      <w:pPr>
        <w:pStyle w:val="ListParagraph"/>
        <w:rPr>
          <w:color w:val="44546A" w:themeColor="text2"/>
          <w:sz w:val="20"/>
          <w:szCs w:val="20"/>
        </w:rPr>
      </w:pPr>
    </w:p>
    <w:p w14:paraId="13D5B6E9" w14:textId="645CB689" w:rsidR="00641D27" w:rsidRPr="008F0D85" w:rsidRDefault="00641D27" w:rsidP="00801D97">
      <w:pPr>
        <w:pStyle w:val="ListParagraph"/>
        <w:numPr>
          <w:ilvl w:val="0"/>
          <w:numId w:val="7"/>
        </w:numPr>
        <w:rPr>
          <w:rStyle w:val="Hyperlink"/>
          <w:color w:val="44546A" w:themeColor="text2"/>
          <w:sz w:val="20"/>
          <w:szCs w:val="20"/>
          <w:u w:val="none"/>
        </w:rPr>
      </w:pPr>
      <w:r w:rsidRPr="008F0D85">
        <w:rPr>
          <w:color w:val="44546A" w:themeColor="text2"/>
          <w:sz w:val="20"/>
          <w:szCs w:val="20"/>
        </w:rPr>
        <w:t>Greenhouse Gas Protocol (2011), ‘Corporate Value Chain Accounting and Reporting Standard’, World Resources Institute.</w:t>
      </w:r>
      <w:r w:rsidRPr="008F0D85">
        <w:rPr>
          <w:color w:val="44546A" w:themeColor="text2"/>
          <w:sz w:val="20"/>
          <w:szCs w:val="20"/>
        </w:rPr>
        <w:br/>
      </w:r>
      <w:hyperlink r:id="rId26" w:history="1">
        <w:r w:rsidRPr="008F0D85">
          <w:rPr>
            <w:rStyle w:val="Hyperlink"/>
            <w:color w:val="44546A" w:themeColor="text2"/>
            <w:sz w:val="20"/>
            <w:szCs w:val="20"/>
          </w:rPr>
          <w:t>https://ghgprotocol.org/sites/default/files/standards/Corporate-Value-Chain-Accounting-Reporing-Standard_041613_2.pdf</w:t>
        </w:r>
      </w:hyperlink>
      <w:bookmarkStart w:id="49" w:name="_Ref148553429"/>
    </w:p>
    <w:p w14:paraId="08D6C018" w14:textId="77777777" w:rsidR="00641D27" w:rsidRPr="008F0D85" w:rsidRDefault="00641D27" w:rsidP="00641D27">
      <w:pPr>
        <w:pStyle w:val="ListParagraph"/>
        <w:rPr>
          <w:color w:val="44546A" w:themeColor="text2"/>
          <w:sz w:val="20"/>
          <w:szCs w:val="20"/>
        </w:rPr>
      </w:pPr>
    </w:p>
    <w:p w14:paraId="1653FF3E" w14:textId="77777777" w:rsidR="00641D27" w:rsidRPr="008F0D85" w:rsidRDefault="00641D27" w:rsidP="00801D97">
      <w:pPr>
        <w:pStyle w:val="ListParagraph"/>
        <w:numPr>
          <w:ilvl w:val="0"/>
          <w:numId w:val="7"/>
        </w:numPr>
        <w:rPr>
          <w:rStyle w:val="Hyperlink"/>
          <w:color w:val="44546A" w:themeColor="text2"/>
          <w:sz w:val="20"/>
          <w:szCs w:val="20"/>
          <w:u w:val="none"/>
        </w:rPr>
      </w:pPr>
      <w:r w:rsidRPr="008F0D85">
        <w:rPr>
          <w:color w:val="44546A" w:themeColor="text2"/>
          <w:sz w:val="20"/>
          <w:szCs w:val="20"/>
        </w:rPr>
        <w:t>Greenhouse Gas Protocol (2011), ‘Technical Guidance for Calculating Scope 3 Emissions’, World Resources Institute.</w:t>
      </w:r>
      <w:r w:rsidRPr="008F0D85">
        <w:rPr>
          <w:color w:val="44546A" w:themeColor="text2"/>
          <w:sz w:val="20"/>
          <w:szCs w:val="20"/>
        </w:rPr>
        <w:br/>
      </w:r>
      <w:hyperlink r:id="rId27" w:history="1">
        <w:r w:rsidRPr="008F0D85">
          <w:rPr>
            <w:rStyle w:val="Hyperlink"/>
            <w:color w:val="44546A" w:themeColor="text2"/>
            <w:sz w:val="20"/>
            <w:szCs w:val="20"/>
          </w:rPr>
          <w:t>https://ghgprotocol.org/sites/default/files/standards/Scope3_Calculation_Guidance_0.pdf</w:t>
        </w:r>
      </w:hyperlink>
      <w:bookmarkStart w:id="50" w:name="_Ref148554255"/>
      <w:bookmarkEnd w:id="49"/>
    </w:p>
    <w:p w14:paraId="2F73B262" w14:textId="77777777" w:rsidR="00641D27" w:rsidRPr="008F0D85" w:rsidRDefault="00641D27" w:rsidP="00641D27">
      <w:pPr>
        <w:pStyle w:val="ListParagraph"/>
        <w:rPr>
          <w:color w:val="44546A" w:themeColor="text2"/>
          <w:sz w:val="20"/>
          <w:szCs w:val="20"/>
        </w:rPr>
      </w:pPr>
    </w:p>
    <w:p w14:paraId="49F338CF" w14:textId="77777777" w:rsidR="00641D27" w:rsidRPr="008F0D85" w:rsidRDefault="00641D27" w:rsidP="00801D97">
      <w:pPr>
        <w:pStyle w:val="ListParagraph"/>
        <w:numPr>
          <w:ilvl w:val="0"/>
          <w:numId w:val="7"/>
        </w:numPr>
        <w:rPr>
          <w:rStyle w:val="Hyperlink"/>
          <w:color w:val="44546A" w:themeColor="text2"/>
          <w:sz w:val="20"/>
          <w:szCs w:val="20"/>
          <w:u w:val="none"/>
        </w:rPr>
      </w:pPr>
      <w:r w:rsidRPr="008F0D85">
        <w:rPr>
          <w:color w:val="44546A" w:themeColor="text2"/>
          <w:sz w:val="20"/>
          <w:szCs w:val="20"/>
        </w:rPr>
        <w:t>International Copper Association (2023), ‘Copper – The Pathway To Net Zero’, Copper Alliance.</w:t>
      </w:r>
      <w:r w:rsidRPr="008F0D85">
        <w:rPr>
          <w:color w:val="44546A" w:themeColor="text2"/>
          <w:sz w:val="20"/>
          <w:szCs w:val="20"/>
        </w:rPr>
        <w:br/>
      </w:r>
      <w:hyperlink r:id="rId28" w:history="1">
        <w:r w:rsidRPr="008F0D85">
          <w:rPr>
            <w:rStyle w:val="Hyperlink"/>
            <w:color w:val="44546A" w:themeColor="text2"/>
            <w:sz w:val="20"/>
            <w:szCs w:val="20"/>
          </w:rPr>
          <w:t>https://copperalliance.org/wp-content/uploads/2023/02/ICA-GlobalDecarbonization-202301-Final-singlepgs.pdf</w:t>
        </w:r>
      </w:hyperlink>
      <w:bookmarkStart w:id="51" w:name="_Ref148553956"/>
      <w:bookmarkEnd w:id="50"/>
    </w:p>
    <w:p w14:paraId="12D73312" w14:textId="77777777" w:rsidR="00641D27" w:rsidRPr="008F0D85" w:rsidRDefault="00641D27" w:rsidP="00641D27">
      <w:pPr>
        <w:pStyle w:val="ListParagraph"/>
        <w:rPr>
          <w:color w:val="44546A" w:themeColor="text2"/>
          <w:sz w:val="20"/>
          <w:szCs w:val="20"/>
        </w:rPr>
      </w:pPr>
    </w:p>
    <w:p w14:paraId="53126B6D" w14:textId="77777777" w:rsidR="0078411B" w:rsidRPr="00863925" w:rsidRDefault="0078411B" w:rsidP="0078411B">
      <w:pPr>
        <w:pStyle w:val="ListParagraph"/>
        <w:numPr>
          <w:ilvl w:val="0"/>
          <w:numId w:val="7"/>
        </w:numPr>
        <w:rPr>
          <w:color w:val="44546A" w:themeColor="text2"/>
          <w:sz w:val="20"/>
          <w:szCs w:val="20"/>
        </w:rPr>
      </w:pPr>
      <w:r w:rsidRPr="00DA35A0">
        <w:rPr>
          <w:color w:val="44546A" w:themeColor="text2"/>
          <w:sz w:val="20"/>
          <w:szCs w:val="20"/>
        </w:rPr>
        <w:t>International Standard Industrial Classification of All Economic Activities (ISIC), Revision 3.1</w:t>
      </w:r>
      <w:r>
        <w:rPr>
          <w:color w:val="44546A" w:themeColor="text2"/>
          <w:sz w:val="20"/>
          <w:szCs w:val="20"/>
        </w:rPr>
        <w:t xml:space="preserve"> </w:t>
      </w:r>
      <w:hyperlink r:id="rId29" w:history="1">
        <w:r w:rsidRPr="00DA35A0">
          <w:rPr>
            <w:rStyle w:val="Hyperlink"/>
            <w:color w:val="44546A" w:themeColor="text2"/>
            <w:sz w:val="20"/>
            <w:szCs w:val="20"/>
          </w:rPr>
          <w:t>https://unstats.un.org/unsd/classifications/Econ/Download/In%20Text/Isic31_English.pdf</w:t>
        </w:r>
      </w:hyperlink>
    </w:p>
    <w:p w14:paraId="6C08508F" w14:textId="77777777" w:rsidR="0078411B" w:rsidRPr="00863925" w:rsidRDefault="0078411B" w:rsidP="00863925">
      <w:pPr>
        <w:pStyle w:val="ListParagraph"/>
        <w:rPr>
          <w:color w:val="44546A" w:themeColor="text2"/>
          <w:sz w:val="20"/>
          <w:szCs w:val="20"/>
        </w:rPr>
      </w:pPr>
    </w:p>
    <w:p w14:paraId="744E8D04" w14:textId="77777777" w:rsidR="00F9610B" w:rsidRPr="008F0D85" w:rsidRDefault="00F9610B" w:rsidP="00F9610B">
      <w:pPr>
        <w:pStyle w:val="ListParagraph"/>
        <w:numPr>
          <w:ilvl w:val="0"/>
          <w:numId w:val="7"/>
        </w:numPr>
        <w:rPr>
          <w:rStyle w:val="Hyperlink"/>
          <w:color w:val="44546A" w:themeColor="text2"/>
          <w:sz w:val="20"/>
          <w:szCs w:val="20"/>
          <w:u w:val="none"/>
        </w:rPr>
      </w:pPr>
      <w:r w:rsidRPr="00DA35A0">
        <w:rPr>
          <w:color w:val="44546A" w:themeColor="text2"/>
          <w:sz w:val="20"/>
          <w:szCs w:val="20"/>
        </w:rPr>
        <w:t>My Climate (2024), Flight CO2 Tool.</w:t>
      </w:r>
      <w:r w:rsidRPr="008F0D85">
        <w:rPr>
          <w:color w:val="44546A" w:themeColor="text2"/>
        </w:rPr>
        <w:br/>
      </w:r>
      <w:hyperlink r:id="rId30" w:history="1">
        <w:r w:rsidRPr="00DA35A0">
          <w:rPr>
            <w:rStyle w:val="Hyperlink"/>
            <w:color w:val="44546A" w:themeColor="text2"/>
            <w:sz w:val="20"/>
            <w:szCs w:val="20"/>
          </w:rPr>
          <w:t>https://co2.myclimate.org/en/flight_calculators/new</w:t>
        </w:r>
      </w:hyperlink>
    </w:p>
    <w:p w14:paraId="29940B54" w14:textId="77777777" w:rsidR="0078411B" w:rsidRPr="00DA35A0" w:rsidRDefault="0078411B" w:rsidP="00863925">
      <w:pPr>
        <w:pStyle w:val="ListParagraph"/>
        <w:ind w:left="644"/>
        <w:rPr>
          <w:color w:val="44546A" w:themeColor="text2"/>
          <w:sz w:val="20"/>
          <w:szCs w:val="20"/>
        </w:rPr>
      </w:pPr>
    </w:p>
    <w:p w14:paraId="56CB1740" w14:textId="77777777" w:rsidR="0070176C" w:rsidRPr="008F0D85" w:rsidRDefault="0070176C" w:rsidP="0070176C">
      <w:pPr>
        <w:pStyle w:val="ListParagraph"/>
        <w:numPr>
          <w:ilvl w:val="0"/>
          <w:numId w:val="7"/>
        </w:numPr>
        <w:rPr>
          <w:rStyle w:val="Hyperlink"/>
          <w:color w:val="44546A" w:themeColor="text2"/>
          <w:sz w:val="20"/>
          <w:szCs w:val="20"/>
        </w:rPr>
      </w:pPr>
      <w:r w:rsidRPr="008F0D85">
        <w:rPr>
          <w:color w:val="44546A" w:themeColor="text2"/>
          <w:sz w:val="20"/>
          <w:szCs w:val="20"/>
        </w:rPr>
        <w:t>Nilsson, Anna, et al (2017). ‘A Review of the Carbon Footprint of Cu and Zn Production from Primary and Secondary Sources,</w:t>
      </w:r>
      <w:r w:rsidRPr="008F0D85">
        <w:rPr>
          <w:color w:val="44546A" w:themeColor="text2"/>
        </w:rPr>
        <w:br/>
      </w:r>
      <w:hyperlink r:id="rId31">
        <w:r w:rsidRPr="008F0D85">
          <w:rPr>
            <w:rStyle w:val="Hyperlink"/>
            <w:color w:val="44546A" w:themeColor="text2"/>
            <w:sz w:val="20"/>
            <w:szCs w:val="20"/>
          </w:rPr>
          <w:t>https://www.researchgate.net/publication/319697995_A_Review_of_the_Carbon_Footprint_of_Cu_and_Zn_Production_from_Primary_and_Secondary_Sources</w:t>
        </w:r>
      </w:hyperlink>
    </w:p>
    <w:p w14:paraId="4F7BDA84" w14:textId="77777777" w:rsidR="0070176C" w:rsidRDefault="0070176C" w:rsidP="00863925">
      <w:pPr>
        <w:pStyle w:val="ListParagraph"/>
        <w:ind w:left="644"/>
        <w:rPr>
          <w:color w:val="44546A" w:themeColor="text2"/>
          <w:sz w:val="20"/>
          <w:szCs w:val="20"/>
        </w:rPr>
      </w:pPr>
    </w:p>
    <w:p w14:paraId="06E43984" w14:textId="0390CF5F" w:rsidR="0070176C" w:rsidRPr="00863925" w:rsidRDefault="0070176C" w:rsidP="00145610">
      <w:pPr>
        <w:pStyle w:val="ListParagraph"/>
        <w:numPr>
          <w:ilvl w:val="0"/>
          <w:numId w:val="7"/>
        </w:numPr>
        <w:rPr>
          <w:color w:val="44546A" w:themeColor="text2"/>
          <w:sz w:val="20"/>
          <w:szCs w:val="20"/>
        </w:rPr>
      </w:pPr>
      <w:proofErr w:type="spellStart"/>
      <w:r w:rsidRPr="00395A39">
        <w:rPr>
          <w:color w:val="44546A" w:themeColor="text2"/>
          <w:sz w:val="20"/>
          <w:szCs w:val="20"/>
          <w:lang w:val="fr-FR"/>
        </w:rPr>
        <w:t>Quantis</w:t>
      </w:r>
      <w:proofErr w:type="spellEnd"/>
      <w:r w:rsidRPr="00395A39">
        <w:rPr>
          <w:color w:val="44546A" w:themeColor="text2"/>
          <w:sz w:val="20"/>
          <w:szCs w:val="20"/>
          <w:lang w:val="fr-FR"/>
        </w:rPr>
        <w:t xml:space="preserve"> (2023), </w:t>
      </w:r>
      <w:proofErr w:type="spellStart"/>
      <w:r w:rsidRPr="00395A39">
        <w:rPr>
          <w:color w:val="44546A" w:themeColor="text2"/>
          <w:sz w:val="20"/>
          <w:szCs w:val="20"/>
          <w:lang w:val="fr-FR"/>
        </w:rPr>
        <w:t>Quantis</w:t>
      </w:r>
      <w:proofErr w:type="spellEnd"/>
      <w:r w:rsidRPr="00395A39">
        <w:rPr>
          <w:color w:val="44546A" w:themeColor="text2"/>
          <w:sz w:val="20"/>
          <w:szCs w:val="20"/>
          <w:lang w:val="fr-FR"/>
        </w:rPr>
        <w:t xml:space="preserve"> </w:t>
      </w:r>
      <w:r>
        <w:rPr>
          <w:color w:val="44546A" w:themeColor="text2"/>
          <w:sz w:val="20"/>
          <w:szCs w:val="20"/>
          <w:lang w:val="fr-FR"/>
        </w:rPr>
        <w:t>Scope 3</w:t>
      </w:r>
      <w:r w:rsidRPr="00395A39">
        <w:rPr>
          <w:color w:val="44546A" w:themeColor="text2"/>
          <w:sz w:val="20"/>
          <w:szCs w:val="20"/>
          <w:lang w:val="fr-FR"/>
        </w:rPr>
        <w:t xml:space="preserve"> </w:t>
      </w:r>
      <w:proofErr w:type="spellStart"/>
      <w:r w:rsidRPr="00395A39">
        <w:rPr>
          <w:color w:val="44546A" w:themeColor="text2"/>
          <w:sz w:val="20"/>
          <w:szCs w:val="20"/>
          <w:lang w:val="fr-FR"/>
        </w:rPr>
        <w:t>Evaluator</w:t>
      </w:r>
      <w:proofErr w:type="spellEnd"/>
      <w:r w:rsidRPr="00395A39">
        <w:rPr>
          <w:color w:val="44546A" w:themeColor="text2"/>
          <w:sz w:val="20"/>
          <w:szCs w:val="20"/>
          <w:lang w:val="fr-FR"/>
        </w:rPr>
        <w:t xml:space="preserve"> Tool.</w:t>
      </w:r>
      <w:r w:rsidRPr="00395A39">
        <w:rPr>
          <w:color w:val="44546A" w:themeColor="text2"/>
          <w:lang w:val="fr-FR"/>
        </w:rPr>
        <w:br/>
      </w:r>
      <w:hyperlink r:id="rId32">
        <w:r w:rsidRPr="00395A39">
          <w:rPr>
            <w:rStyle w:val="Hyperlink"/>
            <w:color w:val="44546A" w:themeColor="text2"/>
            <w:sz w:val="20"/>
            <w:szCs w:val="20"/>
            <w:lang w:val="fr-FR"/>
          </w:rPr>
          <w:t>https://quantis-suite.com/Scope-3-Evaluator/</w:t>
        </w:r>
      </w:hyperlink>
    </w:p>
    <w:p w14:paraId="27771E27" w14:textId="77777777" w:rsidR="00145610" w:rsidRPr="00863925" w:rsidRDefault="00145610" w:rsidP="00863925">
      <w:pPr>
        <w:pStyle w:val="ListParagraph"/>
        <w:rPr>
          <w:color w:val="44546A" w:themeColor="text2"/>
          <w:sz w:val="20"/>
          <w:szCs w:val="20"/>
        </w:rPr>
      </w:pPr>
    </w:p>
    <w:p w14:paraId="5B6E4D9B" w14:textId="77777777" w:rsidR="00145610" w:rsidRPr="00863925" w:rsidRDefault="00145610" w:rsidP="00863925">
      <w:pPr>
        <w:pStyle w:val="ListParagraph"/>
        <w:ind w:left="644"/>
        <w:rPr>
          <w:color w:val="44546A" w:themeColor="text2"/>
          <w:sz w:val="20"/>
          <w:szCs w:val="20"/>
        </w:rPr>
      </w:pPr>
    </w:p>
    <w:p w14:paraId="0CCEF4DB" w14:textId="77777777" w:rsidR="00145610" w:rsidRPr="00395A39" w:rsidRDefault="00145610" w:rsidP="00145610">
      <w:pPr>
        <w:pStyle w:val="ListParagraph"/>
        <w:numPr>
          <w:ilvl w:val="0"/>
          <w:numId w:val="7"/>
        </w:numPr>
        <w:rPr>
          <w:rStyle w:val="Hyperlink"/>
          <w:color w:val="44546A" w:themeColor="text2"/>
          <w:sz w:val="20"/>
          <w:szCs w:val="20"/>
          <w:lang w:val="fr-FR"/>
        </w:rPr>
      </w:pPr>
      <w:r w:rsidRPr="00DB2E28">
        <w:rPr>
          <w:color w:val="44546A" w:themeColor="text2"/>
          <w:sz w:val="20"/>
          <w:szCs w:val="20"/>
          <w:lang w:val="fr-FR"/>
        </w:rPr>
        <w:t>Stadler, K. W.-J.-F. (2021), EXIOBASE 3 (3.8.2)</w:t>
      </w:r>
      <w:r w:rsidRPr="00395A39">
        <w:rPr>
          <w:color w:val="44546A" w:themeColor="text2"/>
          <w:sz w:val="20"/>
          <w:szCs w:val="20"/>
          <w:lang w:val="fr-FR"/>
        </w:rPr>
        <w:t>.</w:t>
      </w:r>
      <w:r w:rsidRPr="00395A39">
        <w:rPr>
          <w:color w:val="44546A" w:themeColor="text2"/>
          <w:lang w:val="fr-FR"/>
        </w:rPr>
        <w:br/>
      </w:r>
      <w:r w:rsidRPr="00DA35A0">
        <w:rPr>
          <w:rStyle w:val="Hyperlink"/>
          <w:color w:val="44546A" w:themeColor="text2"/>
          <w:sz w:val="20"/>
          <w:szCs w:val="20"/>
        </w:rPr>
        <w:t>https://doi.org/10.5281/zenodo.5589597</w:t>
      </w:r>
    </w:p>
    <w:p w14:paraId="71F05474" w14:textId="77777777" w:rsidR="00145610" w:rsidRDefault="00145610" w:rsidP="00863925">
      <w:pPr>
        <w:pStyle w:val="ListParagraph"/>
        <w:ind w:left="644"/>
        <w:rPr>
          <w:color w:val="44546A" w:themeColor="text2"/>
          <w:sz w:val="20"/>
          <w:szCs w:val="20"/>
        </w:rPr>
      </w:pPr>
    </w:p>
    <w:p w14:paraId="385239FF" w14:textId="77777777" w:rsidR="00276BD7" w:rsidRPr="00863925" w:rsidRDefault="00276BD7" w:rsidP="0070176C">
      <w:pPr>
        <w:pStyle w:val="ListParagraph"/>
        <w:numPr>
          <w:ilvl w:val="0"/>
          <w:numId w:val="7"/>
        </w:numPr>
        <w:rPr>
          <w:color w:val="44546A" w:themeColor="text2"/>
          <w:sz w:val="20"/>
          <w:szCs w:val="20"/>
        </w:rPr>
      </w:pPr>
      <w:r w:rsidRPr="00DA35A0">
        <w:rPr>
          <w:color w:val="44546A" w:themeColor="text2"/>
          <w:sz w:val="20"/>
          <w:szCs w:val="20"/>
        </w:rPr>
        <w:t>Turkis</w:t>
      </w:r>
      <w:r>
        <w:rPr>
          <w:color w:val="44546A" w:themeColor="text2"/>
          <w:sz w:val="20"/>
          <w:szCs w:val="20"/>
        </w:rPr>
        <w:t>h</w:t>
      </w:r>
      <w:r w:rsidRPr="00DA35A0">
        <w:rPr>
          <w:color w:val="44546A" w:themeColor="text2"/>
          <w:sz w:val="20"/>
          <w:szCs w:val="20"/>
        </w:rPr>
        <w:t xml:space="preserve"> Airlines (2024), CO2mission (carbon footprint calculator)</w:t>
      </w:r>
      <w:r w:rsidRPr="00F3171C">
        <w:rPr>
          <w:rStyle w:val="Hyperlink"/>
          <w:color w:val="44546A" w:themeColor="text2"/>
          <w:sz w:val="20"/>
          <w:szCs w:val="20"/>
        </w:rPr>
        <w:t xml:space="preserve"> </w:t>
      </w:r>
      <w:hyperlink r:id="rId33" w:history="1">
        <w:r w:rsidRPr="00DA35A0">
          <w:rPr>
            <w:rStyle w:val="Hyperlink"/>
            <w:color w:val="44546A" w:themeColor="text2"/>
            <w:sz w:val="20"/>
            <w:szCs w:val="20"/>
          </w:rPr>
          <w:t>https://turkishairlines.co2mission.com/en/offset/calculation</w:t>
        </w:r>
      </w:hyperlink>
    </w:p>
    <w:p w14:paraId="4587B1C5" w14:textId="77777777" w:rsidR="00276BD7" w:rsidRPr="00863925" w:rsidRDefault="00276BD7" w:rsidP="00863925">
      <w:pPr>
        <w:pStyle w:val="ListParagraph"/>
        <w:rPr>
          <w:color w:val="44546A" w:themeColor="text2"/>
          <w:sz w:val="20"/>
          <w:szCs w:val="20"/>
        </w:rPr>
      </w:pPr>
    </w:p>
    <w:p w14:paraId="722AA85F" w14:textId="7173BA40" w:rsidR="00641D27" w:rsidRPr="008F0D85" w:rsidRDefault="0043722C" w:rsidP="00863925">
      <w:pPr>
        <w:pStyle w:val="ListParagraph"/>
        <w:numPr>
          <w:ilvl w:val="0"/>
          <w:numId w:val="7"/>
        </w:numPr>
      </w:pPr>
      <w:r w:rsidRPr="008F0D85">
        <w:rPr>
          <w:color w:val="44546A" w:themeColor="text2"/>
          <w:sz w:val="20"/>
          <w:szCs w:val="20"/>
        </w:rPr>
        <w:t>Turner A</w:t>
      </w:r>
      <w:r w:rsidR="00B0090C" w:rsidRPr="008F0D85">
        <w:rPr>
          <w:color w:val="44546A" w:themeColor="text2"/>
          <w:sz w:val="20"/>
          <w:szCs w:val="20"/>
        </w:rPr>
        <w:t>,</w:t>
      </w:r>
      <w:r w:rsidRPr="008F0D85">
        <w:rPr>
          <w:color w:val="44546A" w:themeColor="text2"/>
          <w:sz w:val="20"/>
          <w:szCs w:val="20"/>
        </w:rPr>
        <w:t xml:space="preserve"> D</w:t>
      </w:r>
      <w:r w:rsidR="00B0090C" w:rsidRPr="008F0D85">
        <w:rPr>
          <w:color w:val="44546A" w:themeColor="text2"/>
          <w:sz w:val="20"/>
          <w:szCs w:val="20"/>
        </w:rPr>
        <w:t>.</w:t>
      </w:r>
      <w:r w:rsidR="00641D27" w:rsidRPr="008F0D85">
        <w:rPr>
          <w:color w:val="44546A" w:themeColor="text2"/>
          <w:sz w:val="20"/>
          <w:szCs w:val="20"/>
        </w:rPr>
        <w:t xml:space="preserve"> et al (2015). ‘Greenhouse gas emission factors for recycling of source-segregated waste materials’,</w:t>
      </w:r>
      <w:r w:rsidR="00641D27" w:rsidRPr="008F0D85">
        <w:rPr>
          <w:color w:val="44546A" w:themeColor="text2"/>
          <w:sz w:val="20"/>
          <w:szCs w:val="20"/>
        </w:rPr>
        <w:br/>
      </w:r>
      <w:hyperlink r:id="rId34" w:history="1">
        <w:r w:rsidR="00641D27" w:rsidRPr="008F0D85">
          <w:rPr>
            <w:rStyle w:val="Hyperlink"/>
            <w:color w:val="44546A" w:themeColor="text2"/>
            <w:sz w:val="20"/>
            <w:szCs w:val="20"/>
          </w:rPr>
          <w:t>https://www.sciencedirect.com/science/article/pii/S0921344915301245?via%3Dihub</w:t>
        </w:r>
      </w:hyperlink>
      <w:bookmarkStart w:id="52" w:name="_Ref148555197"/>
      <w:bookmarkEnd w:id="51"/>
    </w:p>
    <w:p w14:paraId="0BFEF553" w14:textId="77777777" w:rsidR="00641D27" w:rsidRPr="00A25DB9" w:rsidRDefault="00641D27" w:rsidP="00863925">
      <w:pPr>
        <w:rPr>
          <w:lang w:val="fr-FR"/>
        </w:rPr>
      </w:pPr>
      <w:bookmarkStart w:id="53" w:name="_Ref148554144"/>
      <w:bookmarkEnd w:id="52"/>
    </w:p>
    <w:p w14:paraId="2198D8BA" w14:textId="0A3CC0C7" w:rsidR="00641D27" w:rsidRPr="00DA35A0" w:rsidRDefault="00641D27" w:rsidP="00801D97">
      <w:pPr>
        <w:pStyle w:val="ListParagraph"/>
        <w:numPr>
          <w:ilvl w:val="0"/>
          <w:numId w:val="7"/>
        </w:numPr>
        <w:rPr>
          <w:rStyle w:val="Hyperlink"/>
          <w:color w:val="44546A" w:themeColor="text2"/>
          <w:sz w:val="20"/>
          <w:szCs w:val="20"/>
          <w:u w:val="none"/>
          <w:lang w:val="fr-FR"/>
        </w:rPr>
      </w:pPr>
      <w:r w:rsidRPr="00DA35A0">
        <w:rPr>
          <w:color w:val="44546A" w:themeColor="text2"/>
          <w:sz w:val="20"/>
          <w:szCs w:val="20"/>
          <w:lang w:val="fr-FR"/>
        </w:rPr>
        <w:t>Transport For London (2023), ‘</w:t>
      </w:r>
      <w:proofErr w:type="spellStart"/>
      <w:r w:rsidRPr="00DA35A0">
        <w:rPr>
          <w:color w:val="44546A" w:themeColor="text2"/>
          <w:sz w:val="20"/>
          <w:szCs w:val="20"/>
          <w:lang w:val="fr-FR"/>
        </w:rPr>
        <w:t>TfL</w:t>
      </w:r>
      <w:proofErr w:type="spellEnd"/>
      <w:r w:rsidRPr="00DA35A0">
        <w:rPr>
          <w:color w:val="44546A" w:themeColor="text2"/>
          <w:sz w:val="20"/>
          <w:szCs w:val="20"/>
          <w:lang w:val="fr-FR"/>
        </w:rPr>
        <w:t xml:space="preserve"> CO2 </w:t>
      </w:r>
      <w:proofErr w:type="spellStart"/>
      <w:r w:rsidRPr="00DA35A0">
        <w:rPr>
          <w:color w:val="44546A" w:themeColor="text2"/>
          <w:sz w:val="20"/>
          <w:szCs w:val="20"/>
          <w:lang w:val="fr-FR"/>
        </w:rPr>
        <w:t>emissions</w:t>
      </w:r>
      <w:proofErr w:type="spellEnd"/>
      <w:r w:rsidRPr="00DA35A0">
        <w:rPr>
          <w:color w:val="44546A" w:themeColor="text2"/>
          <w:sz w:val="20"/>
          <w:szCs w:val="20"/>
          <w:lang w:val="fr-FR"/>
        </w:rPr>
        <w:t xml:space="preserve"> per </w:t>
      </w:r>
      <w:proofErr w:type="spellStart"/>
      <w:r w:rsidRPr="00DA35A0">
        <w:rPr>
          <w:color w:val="44546A" w:themeColor="text2"/>
          <w:sz w:val="20"/>
          <w:szCs w:val="20"/>
          <w:lang w:val="fr-FR"/>
        </w:rPr>
        <w:t>passenger</w:t>
      </w:r>
      <w:proofErr w:type="spellEnd"/>
      <w:r w:rsidRPr="00DA35A0">
        <w:rPr>
          <w:color w:val="44546A" w:themeColor="text2"/>
          <w:sz w:val="20"/>
          <w:szCs w:val="20"/>
          <w:lang w:val="fr-FR"/>
        </w:rPr>
        <w:t xml:space="preserve"> </w:t>
      </w:r>
      <w:proofErr w:type="spellStart"/>
      <w:r w:rsidRPr="00DA35A0">
        <w:rPr>
          <w:color w:val="44546A" w:themeColor="text2"/>
          <w:sz w:val="20"/>
          <w:szCs w:val="20"/>
          <w:lang w:val="fr-FR"/>
        </w:rPr>
        <w:t>kilometre</w:t>
      </w:r>
      <w:proofErr w:type="spellEnd"/>
      <w:r w:rsidRPr="00DA35A0">
        <w:rPr>
          <w:color w:val="44546A" w:themeColor="text2"/>
          <w:sz w:val="20"/>
          <w:szCs w:val="20"/>
          <w:lang w:val="fr-FR"/>
        </w:rPr>
        <w:t>’, tfl.gov.uk.</w:t>
      </w:r>
      <w:r w:rsidRPr="00DA35A0">
        <w:rPr>
          <w:color w:val="44546A" w:themeColor="text2"/>
          <w:lang w:val="fr-FR"/>
        </w:rPr>
        <w:br/>
      </w:r>
      <w:bookmarkEnd w:id="53"/>
      <w:r w:rsidR="001771D5" w:rsidRPr="00DA35A0">
        <w:rPr>
          <w:rStyle w:val="Hyperlink"/>
          <w:color w:val="44546A" w:themeColor="text2"/>
          <w:sz w:val="20"/>
          <w:szCs w:val="20"/>
          <w:lang w:val="fr-FR"/>
        </w:rPr>
        <w:t>https://foi.tfl.gov.uk/FOI-3373-2324/FOI-3373.pdf</w:t>
      </w:r>
      <w:r w:rsidR="001771D5" w:rsidRPr="00DA35A0" w:rsidDel="001771D5">
        <w:rPr>
          <w:lang w:val="fr-FR"/>
        </w:rPr>
        <w:t xml:space="preserve"> </w:t>
      </w:r>
    </w:p>
    <w:p w14:paraId="7FBF2AD0" w14:textId="77777777" w:rsidR="00641D27" w:rsidRPr="00DA35A0" w:rsidRDefault="00641D27" w:rsidP="00641D27">
      <w:pPr>
        <w:pStyle w:val="ListParagraph"/>
        <w:rPr>
          <w:color w:val="44546A" w:themeColor="text2"/>
          <w:sz w:val="20"/>
          <w:szCs w:val="20"/>
          <w:lang w:val="fr-FR"/>
        </w:rPr>
      </w:pPr>
    </w:p>
    <w:p w14:paraId="102E504C" w14:textId="4A9D1C43" w:rsidR="00641D27" w:rsidRPr="008F0D85" w:rsidRDefault="00641D27" w:rsidP="00801D97">
      <w:pPr>
        <w:pStyle w:val="ListParagraph"/>
        <w:numPr>
          <w:ilvl w:val="0"/>
          <w:numId w:val="7"/>
        </w:numPr>
        <w:rPr>
          <w:rStyle w:val="Hyperlink"/>
          <w:color w:val="44546A" w:themeColor="text2"/>
          <w:sz w:val="20"/>
          <w:szCs w:val="20"/>
          <w:u w:val="none"/>
        </w:rPr>
      </w:pPr>
      <w:r w:rsidRPr="008F0D85">
        <w:rPr>
          <w:color w:val="44546A" w:themeColor="text2"/>
          <w:sz w:val="20"/>
          <w:szCs w:val="20"/>
        </w:rPr>
        <w:t>U.S. Bureau of Economic Analysis (202</w:t>
      </w:r>
      <w:r w:rsidR="0075525D">
        <w:rPr>
          <w:color w:val="44546A" w:themeColor="text2"/>
          <w:sz w:val="20"/>
          <w:szCs w:val="20"/>
        </w:rPr>
        <w:t>5</w:t>
      </w:r>
      <w:r w:rsidRPr="008F0D85">
        <w:rPr>
          <w:color w:val="44546A" w:themeColor="text2"/>
          <w:sz w:val="20"/>
          <w:szCs w:val="20"/>
        </w:rPr>
        <w:t>), ‘Chain-Type Quantity Indexes for Gross Output by Industry’, bea.gov.</w:t>
      </w:r>
      <w:r w:rsidRPr="008F0D85">
        <w:rPr>
          <w:color w:val="44546A" w:themeColor="text2"/>
        </w:rPr>
        <w:br/>
      </w:r>
      <w:r w:rsidR="000D0948" w:rsidRPr="00DA35A0">
        <w:rPr>
          <w:rStyle w:val="Hyperlink"/>
          <w:color w:val="44546A" w:themeColor="text2"/>
          <w:sz w:val="20"/>
          <w:szCs w:val="20"/>
        </w:rPr>
        <w:t>https://apps.bea.gov/iTable/?reqid=150&amp;step=2&amp;isuri=1&amp;categories=gdpxind#eyJhcHBpZCI6MTUwLCJzdGVwcyI6WzEsMiwzXSwiZGF0YSI6W1siY2F0ZWdvcmllcyIsIkdkcHhJbmQiXSxbIlRhYmxlX0xpc3QiLCIxOCJdXX0=</w:t>
      </w:r>
      <w:r w:rsidR="000D0948" w:rsidRPr="00C23F53">
        <w:t xml:space="preserve"> </w:t>
      </w:r>
      <w:bookmarkStart w:id="54" w:name="_Ref148555051"/>
    </w:p>
    <w:p w14:paraId="5BCB2450" w14:textId="77777777" w:rsidR="00641D27" w:rsidRPr="008F0D85" w:rsidRDefault="00641D27" w:rsidP="00641D27">
      <w:pPr>
        <w:pStyle w:val="ListParagraph"/>
        <w:rPr>
          <w:color w:val="44546A" w:themeColor="text2"/>
          <w:sz w:val="20"/>
          <w:szCs w:val="20"/>
        </w:rPr>
      </w:pPr>
    </w:p>
    <w:p w14:paraId="7E747D67" w14:textId="5B1CFC32" w:rsidR="00641D27" w:rsidRPr="008F0D85" w:rsidRDefault="00641D27" w:rsidP="00801D97">
      <w:pPr>
        <w:pStyle w:val="ListParagraph"/>
        <w:numPr>
          <w:ilvl w:val="0"/>
          <w:numId w:val="7"/>
        </w:numPr>
        <w:rPr>
          <w:color w:val="44546A" w:themeColor="text2"/>
          <w:sz w:val="20"/>
          <w:szCs w:val="20"/>
        </w:rPr>
      </w:pPr>
      <w:r w:rsidRPr="008F0D85">
        <w:rPr>
          <w:color w:val="44546A" w:themeColor="text2"/>
          <w:sz w:val="20"/>
          <w:szCs w:val="20"/>
        </w:rPr>
        <w:t xml:space="preserve">U.S. Environmental Protection Agency (2023), ‘Emissions </w:t>
      </w:r>
      <w:proofErr w:type="gramStart"/>
      <w:r w:rsidRPr="008F0D85">
        <w:rPr>
          <w:color w:val="44546A" w:themeColor="text2"/>
          <w:sz w:val="20"/>
          <w:szCs w:val="20"/>
        </w:rPr>
        <w:t>From</w:t>
      </w:r>
      <w:proofErr w:type="gramEnd"/>
      <w:r w:rsidRPr="008F0D85">
        <w:rPr>
          <w:color w:val="44546A" w:themeColor="text2"/>
          <w:sz w:val="20"/>
          <w:szCs w:val="20"/>
        </w:rPr>
        <w:t xml:space="preserve"> Hit-Dip Galvanizing Process’, NSCEP. </w:t>
      </w:r>
      <w:hyperlink r:id="rId35">
        <w:r w:rsidRPr="008F0D85">
          <w:rPr>
            <w:rStyle w:val="Hyperlink"/>
            <w:color w:val="44546A" w:themeColor="text2"/>
            <w:sz w:val="20"/>
            <w:szCs w:val="20"/>
          </w:rPr>
          <w:t>https://nepis.epa.gov/Exe/tiff2png.cgi/94001BY2.</w:t>
        </w:r>
      </w:hyperlink>
      <w:bookmarkEnd w:id="54"/>
    </w:p>
    <w:p w14:paraId="1150D978" w14:textId="77777777" w:rsidR="00641D27" w:rsidRPr="008F0D85" w:rsidRDefault="00641D27" w:rsidP="00641D27">
      <w:pPr>
        <w:pStyle w:val="ListParagraph"/>
        <w:rPr>
          <w:color w:val="44546A" w:themeColor="text2"/>
          <w:sz w:val="20"/>
          <w:szCs w:val="20"/>
        </w:rPr>
      </w:pPr>
    </w:p>
    <w:p w14:paraId="375DB1AA" w14:textId="64669F3C" w:rsidR="00641D27" w:rsidRPr="008F0D85" w:rsidRDefault="00641D27" w:rsidP="00801D97">
      <w:pPr>
        <w:pStyle w:val="ListParagraph"/>
        <w:numPr>
          <w:ilvl w:val="0"/>
          <w:numId w:val="7"/>
        </w:numPr>
        <w:rPr>
          <w:rStyle w:val="Hyperlink"/>
          <w:color w:val="44546A" w:themeColor="text2"/>
          <w:sz w:val="20"/>
          <w:szCs w:val="20"/>
          <w:u w:val="none"/>
        </w:rPr>
      </w:pPr>
      <w:bookmarkStart w:id="55" w:name="_Ref148553823"/>
      <w:r w:rsidRPr="008F0D85">
        <w:rPr>
          <w:color w:val="44546A" w:themeColor="text2"/>
          <w:sz w:val="20"/>
          <w:szCs w:val="20"/>
        </w:rPr>
        <w:t>U.S. Environmental Protection Agency (202</w:t>
      </w:r>
      <w:r w:rsidR="008975A5">
        <w:rPr>
          <w:color w:val="44546A" w:themeColor="text2"/>
          <w:sz w:val="20"/>
          <w:szCs w:val="20"/>
        </w:rPr>
        <w:t>5</w:t>
      </w:r>
      <w:r w:rsidRPr="008F0D85">
        <w:rPr>
          <w:color w:val="44546A" w:themeColor="text2"/>
          <w:sz w:val="20"/>
          <w:szCs w:val="20"/>
        </w:rPr>
        <w:t xml:space="preserve">), ‘GHG Emission Factors Hub’, epa.gov. </w:t>
      </w:r>
      <w:bookmarkStart w:id="56" w:name="_Hlk193193974"/>
      <w:r w:rsidR="002A37BC" w:rsidRPr="00DA35A0">
        <w:rPr>
          <w:rStyle w:val="Hyperlink"/>
          <w:color w:val="44546A" w:themeColor="text2"/>
          <w:sz w:val="20"/>
          <w:szCs w:val="20"/>
        </w:rPr>
        <w:t>https://www.epa.gov/system/files/documents/2025-01/ghg-emission-factors-hub-2025.pdf</w:t>
      </w:r>
      <w:bookmarkEnd w:id="56"/>
      <w:r w:rsidR="002A37BC" w:rsidRPr="00DA35A0" w:rsidDel="002A37BC">
        <w:rPr>
          <w:rStyle w:val="Hyperlink"/>
          <w:color w:val="44546A" w:themeColor="text2"/>
          <w:sz w:val="20"/>
          <w:szCs w:val="20"/>
        </w:rPr>
        <w:t xml:space="preserve"> </w:t>
      </w:r>
      <w:bookmarkStart w:id="57" w:name="_Ref148555270"/>
      <w:bookmarkEnd w:id="55"/>
    </w:p>
    <w:p w14:paraId="20759523" w14:textId="77777777" w:rsidR="00641D27" w:rsidRPr="008F0D85" w:rsidRDefault="00641D27" w:rsidP="00641D27">
      <w:pPr>
        <w:pStyle w:val="ListParagraph"/>
        <w:rPr>
          <w:color w:val="44546A" w:themeColor="text2"/>
          <w:sz w:val="20"/>
          <w:szCs w:val="20"/>
        </w:rPr>
      </w:pPr>
    </w:p>
    <w:p w14:paraId="31E22D60" w14:textId="77777777" w:rsidR="00641D27" w:rsidRPr="008F0D85" w:rsidRDefault="00641D27" w:rsidP="00801D97">
      <w:pPr>
        <w:pStyle w:val="ListParagraph"/>
        <w:numPr>
          <w:ilvl w:val="0"/>
          <w:numId w:val="7"/>
        </w:numPr>
        <w:rPr>
          <w:rStyle w:val="Hyperlink"/>
          <w:color w:val="44546A" w:themeColor="text2"/>
          <w:sz w:val="20"/>
          <w:szCs w:val="20"/>
          <w:u w:val="none"/>
        </w:rPr>
      </w:pPr>
      <w:r w:rsidRPr="008F0D85">
        <w:rPr>
          <w:color w:val="44546A" w:themeColor="text2"/>
          <w:sz w:val="20"/>
          <w:szCs w:val="20"/>
        </w:rPr>
        <w:lastRenderedPageBreak/>
        <w:t xml:space="preserve">U.S. Environmental Protection Agency (1997), ‘Secondary Lead Processing’, epa.gov. </w:t>
      </w:r>
      <w:hyperlink r:id="rId36">
        <w:r w:rsidRPr="008F0D85">
          <w:rPr>
            <w:rStyle w:val="Hyperlink"/>
            <w:color w:val="44546A" w:themeColor="text2"/>
            <w:sz w:val="20"/>
            <w:szCs w:val="20"/>
          </w:rPr>
          <w:t>https://www3.epa.gov/ttnchie1/ap42/ch12/final/c12s11_2010.pdf</w:t>
        </w:r>
      </w:hyperlink>
      <w:bookmarkStart w:id="58" w:name="_Ref148554858"/>
      <w:bookmarkEnd w:id="57"/>
    </w:p>
    <w:p w14:paraId="4CF37B0A" w14:textId="77777777" w:rsidR="00641D27" w:rsidRPr="008F0D85" w:rsidRDefault="00641D27" w:rsidP="00641D27">
      <w:pPr>
        <w:pStyle w:val="ListParagraph"/>
        <w:rPr>
          <w:color w:val="44546A" w:themeColor="text2"/>
          <w:sz w:val="20"/>
          <w:szCs w:val="20"/>
        </w:rPr>
      </w:pPr>
    </w:p>
    <w:p w14:paraId="4CFAD9CC" w14:textId="77777777" w:rsidR="00641D27" w:rsidRPr="008F0D85" w:rsidRDefault="00641D27" w:rsidP="00801D97">
      <w:pPr>
        <w:pStyle w:val="ListParagraph"/>
        <w:numPr>
          <w:ilvl w:val="0"/>
          <w:numId w:val="7"/>
        </w:numPr>
        <w:rPr>
          <w:color w:val="44546A" w:themeColor="text2"/>
          <w:sz w:val="20"/>
          <w:szCs w:val="20"/>
        </w:rPr>
      </w:pPr>
      <w:r w:rsidRPr="008F0D85">
        <w:rPr>
          <w:color w:val="44546A" w:themeColor="text2"/>
          <w:sz w:val="20"/>
          <w:szCs w:val="20"/>
        </w:rPr>
        <w:t>U.S. Environmental Protection Agency (2023), ‘Used Lead Acid Batteries – Waste Lead Acid Batteries’, epa.gov.</w:t>
      </w:r>
      <w:r w:rsidRPr="008F0D85">
        <w:rPr>
          <w:color w:val="44546A" w:themeColor="text2"/>
        </w:rPr>
        <w:br/>
      </w:r>
      <w:hyperlink r:id="rId37">
        <w:r w:rsidRPr="008F0D85">
          <w:rPr>
            <w:rStyle w:val="Hyperlink"/>
            <w:color w:val="44546A" w:themeColor="text2"/>
            <w:sz w:val="20"/>
            <w:szCs w:val="20"/>
          </w:rPr>
          <w:t>https://www.unep.org/explore-topics/chemicals-waste/what-we-do/emerging-issues/used-lead-acid-batteries-ulab-waste-lead</w:t>
        </w:r>
      </w:hyperlink>
      <w:r w:rsidRPr="008F0D85">
        <w:rPr>
          <w:color w:val="44546A" w:themeColor="text2"/>
          <w:sz w:val="20"/>
          <w:szCs w:val="20"/>
        </w:rPr>
        <w:t>.</w:t>
      </w:r>
      <w:bookmarkStart w:id="59" w:name="_Ref148554921"/>
      <w:bookmarkEnd w:id="58"/>
    </w:p>
    <w:p w14:paraId="4E82576D" w14:textId="77777777" w:rsidR="00641D27" w:rsidRPr="008F0D85" w:rsidRDefault="00641D27" w:rsidP="00641D27">
      <w:pPr>
        <w:pStyle w:val="ListParagraph"/>
        <w:rPr>
          <w:color w:val="44546A" w:themeColor="text2"/>
          <w:sz w:val="20"/>
          <w:szCs w:val="20"/>
        </w:rPr>
      </w:pPr>
    </w:p>
    <w:p w14:paraId="4EE9191C" w14:textId="77777777" w:rsidR="00641D27" w:rsidRPr="008F0D85" w:rsidRDefault="00641D27" w:rsidP="00801D97">
      <w:pPr>
        <w:pStyle w:val="ListParagraph"/>
        <w:numPr>
          <w:ilvl w:val="0"/>
          <w:numId w:val="7"/>
        </w:numPr>
        <w:rPr>
          <w:rStyle w:val="Hyperlink"/>
          <w:color w:val="44546A" w:themeColor="text2"/>
          <w:sz w:val="20"/>
          <w:szCs w:val="20"/>
        </w:rPr>
      </w:pPr>
      <w:r w:rsidRPr="008F0D85">
        <w:rPr>
          <w:color w:val="44546A" w:themeColor="text2"/>
          <w:sz w:val="20"/>
          <w:szCs w:val="20"/>
        </w:rPr>
        <w:t>U.S. Geological Survey (2020), ‘Mineral Commodity Summaries’, usgs.gov.</w:t>
      </w:r>
      <w:r w:rsidRPr="008F0D85">
        <w:rPr>
          <w:color w:val="44546A" w:themeColor="text2"/>
        </w:rPr>
        <w:br/>
      </w:r>
      <w:hyperlink r:id="rId38">
        <w:r w:rsidRPr="008F0D85">
          <w:rPr>
            <w:rStyle w:val="Hyperlink"/>
            <w:color w:val="44546A" w:themeColor="text2"/>
            <w:sz w:val="20"/>
            <w:szCs w:val="20"/>
          </w:rPr>
          <w:t>https://pubs.usgs.gov/periodicals/mcs2020/mcs2020.pdf</w:t>
        </w:r>
      </w:hyperlink>
      <w:bookmarkStart w:id="60" w:name="_Ref148554036"/>
      <w:bookmarkEnd w:id="59"/>
    </w:p>
    <w:p w14:paraId="5F751CE3" w14:textId="77777777" w:rsidR="00641D27" w:rsidRPr="008F0D85" w:rsidRDefault="00641D27" w:rsidP="00641D27">
      <w:pPr>
        <w:pStyle w:val="ListParagraph"/>
        <w:rPr>
          <w:rStyle w:val="Hyperlink"/>
          <w:color w:val="44546A" w:themeColor="text2"/>
          <w:sz w:val="20"/>
          <w:szCs w:val="20"/>
        </w:rPr>
      </w:pPr>
    </w:p>
    <w:p w14:paraId="59757D81" w14:textId="7FBD2D1F" w:rsidR="0078411B" w:rsidRPr="00DA35A0" w:rsidRDefault="00DD4E2D" w:rsidP="0078411B">
      <w:pPr>
        <w:pStyle w:val="ListParagraph"/>
        <w:numPr>
          <w:ilvl w:val="0"/>
          <w:numId w:val="7"/>
        </w:numPr>
        <w:rPr>
          <w:color w:val="44546A" w:themeColor="text2"/>
          <w:sz w:val="20"/>
          <w:szCs w:val="20"/>
          <w:u w:val="single"/>
        </w:rPr>
      </w:pPr>
      <w:r w:rsidRPr="00741D56">
        <w:rPr>
          <w:color w:val="44546A" w:themeColor="text2"/>
          <w:sz w:val="20"/>
          <w:szCs w:val="20"/>
        </w:rPr>
        <w:t>Wizz Air (202</w:t>
      </w:r>
      <w:r w:rsidR="00935019">
        <w:rPr>
          <w:color w:val="44546A" w:themeColor="text2"/>
          <w:sz w:val="20"/>
          <w:szCs w:val="20"/>
        </w:rPr>
        <w:t>4</w:t>
      </w:r>
      <w:r w:rsidRPr="00741D56">
        <w:rPr>
          <w:color w:val="44546A" w:themeColor="text2"/>
          <w:sz w:val="20"/>
          <w:szCs w:val="20"/>
        </w:rPr>
        <w:t xml:space="preserve">), Carbon Footprint Calculator. </w:t>
      </w:r>
      <w:hyperlink r:id="rId39" w:history="1">
        <w:r w:rsidR="009207E8" w:rsidRPr="008F0D85">
          <w:rPr>
            <w:rStyle w:val="Hyperlink"/>
            <w:color w:val="44546A" w:themeColor="text2"/>
            <w:sz w:val="20"/>
            <w:szCs w:val="20"/>
          </w:rPr>
          <w:t>https://wizzair.chooose.today/</w:t>
        </w:r>
      </w:hyperlink>
    </w:p>
    <w:p w14:paraId="6EEC0421" w14:textId="77777777" w:rsidR="000D027C" w:rsidRPr="003C2EA1" w:rsidRDefault="000D027C" w:rsidP="0078411B">
      <w:pPr>
        <w:pStyle w:val="ListParagraph"/>
        <w:ind w:left="644"/>
      </w:pPr>
    </w:p>
    <w:p w14:paraId="4DF4B49E" w14:textId="77777777" w:rsidR="00D16AD1" w:rsidRPr="00DA35A0" w:rsidRDefault="00D16AD1" w:rsidP="00DA35A0">
      <w:pPr>
        <w:rPr>
          <w:color w:val="44546A" w:themeColor="text2"/>
          <w:sz w:val="20"/>
          <w:szCs w:val="20"/>
        </w:rPr>
      </w:pPr>
    </w:p>
    <w:bookmarkEnd w:id="60"/>
    <w:p w14:paraId="2E5FCCB4" w14:textId="77777777" w:rsidR="009207E8" w:rsidRPr="00935019" w:rsidRDefault="009207E8" w:rsidP="00DA35A0">
      <w:pPr>
        <w:rPr>
          <w:rStyle w:val="Hyperlink"/>
          <w:color w:val="44546A" w:themeColor="text2"/>
          <w:sz w:val="20"/>
          <w:szCs w:val="20"/>
        </w:rPr>
      </w:pPr>
    </w:p>
    <w:p w14:paraId="30FF2372" w14:textId="2ACF41A0" w:rsidR="004E028F" w:rsidRPr="00206844" w:rsidRDefault="004E028F" w:rsidP="00DA35A0">
      <w:pPr>
        <w:pStyle w:val="ListParagraph"/>
      </w:pPr>
    </w:p>
    <w:sectPr w:rsidR="004E028F" w:rsidRPr="00206844" w:rsidSect="004438F5">
      <w:headerReference w:type="default" r:id="rId40"/>
      <w:footnotePr>
        <w:numRestart w:val="eachPage"/>
      </w:footnotePr>
      <w:pgSz w:w="11906" w:h="16838"/>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B5E3" w14:textId="77777777" w:rsidR="00232698" w:rsidRDefault="00232698" w:rsidP="004B76B9">
      <w:pPr>
        <w:spacing w:after="0" w:line="240" w:lineRule="auto"/>
      </w:pPr>
      <w:r>
        <w:separator/>
      </w:r>
    </w:p>
  </w:endnote>
  <w:endnote w:type="continuationSeparator" w:id="0">
    <w:p w14:paraId="160A25F9" w14:textId="77777777" w:rsidR="00232698" w:rsidRDefault="00232698" w:rsidP="004B76B9">
      <w:pPr>
        <w:spacing w:after="0" w:line="240" w:lineRule="auto"/>
      </w:pPr>
      <w:r>
        <w:continuationSeparator/>
      </w:r>
    </w:p>
  </w:endnote>
  <w:endnote w:type="continuationNotice" w:id="1">
    <w:p w14:paraId="504678C9" w14:textId="77777777" w:rsidR="00232698" w:rsidRDefault="00232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2318" w14:textId="026B8058" w:rsidR="00B87350" w:rsidRDefault="00B87350">
    <w:pPr>
      <w:pStyle w:val="Footer"/>
      <w:jc w:val="right"/>
    </w:pPr>
  </w:p>
  <w:p w14:paraId="4EE5A5BF" w14:textId="77777777" w:rsidR="004F6114" w:rsidRDefault="004F6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493192"/>
      <w:docPartObj>
        <w:docPartGallery w:val="Page Numbers (Bottom of Page)"/>
        <w:docPartUnique/>
      </w:docPartObj>
    </w:sdtPr>
    <w:sdtEndPr/>
    <w:sdtContent>
      <w:p w14:paraId="1B832566" w14:textId="7AB6C4A5" w:rsidR="00921AA3" w:rsidRDefault="00921AA3">
        <w:pPr>
          <w:pStyle w:val="Footer"/>
          <w:jc w:val="right"/>
        </w:pPr>
        <w:r>
          <w:fldChar w:fldCharType="begin"/>
        </w:r>
        <w:r>
          <w:instrText>PAGE   \* MERGEFORMAT</w:instrText>
        </w:r>
        <w:r>
          <w:fldChar w:fldCharType="separate"/>
        </w:r>
        <w:r>
          <w:t>2</w:t>
        </w:r>
        <w:r>
          <w:fldChar w:fldCharType="end"/>
        </w:r>
      </w:p>
    </w:sdtContent>
  </w:sdt>
  <w:p w14:paraId="0AE962C5" w14:textId="77777777" w:rsidR="00BF7B69" w:rsidRDefault="00BF7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1267" w14:textId="77777777" w:rsidR="00232698" w:rsidRDefault="00232698" w:rsidP="004B76B9">
      <w:pPr>
        <w:spacing w:after="0" w:line="240" w:lineRule="auto"/>
      </w:pPr>
      <w:r>
        <w:separator/>
      </w:r>
    </w:p>
  </w:footnote>
  <w:footnote w:type="continuationSeparator" w:id="0">
    <w:p w14:paraId="51133115" w14:textId="77777777" w:rsidR="00232698" w:rsidRDefault="00232698" w:rsidP="004B76B9">
      <w:pPr>
        <w:spacing w:after="0" w:line="240" w:lineRule="auto"/>
      </w:pPr>
      <w:r>
        <w:continuationSeparator/>
      </w:r>
    </w:p>
  </w:footnote>
  <w:footnote w:type="continuationNotice" w:id="1">
    <w:p w14:paraId="31CD6BDA" w14:textId="77777777" w:rsidR="00232698" w:rsidRDefault="00232698">
      <w:pPr>
        <w:spacing w:after="0" w:line="240" w:lineRule="auto"/>
      </w:pPr>
    </w:p>
  </w:footnote>
  <w:footnote w:id="2">
    <w:p w14:paraId="5E64D9D6" w14:textId="52F51D4B" w:rsidR="00DE225F" w:rsidRDefault="00DE225F">
      <w:pPr>
        <w:pStyle w:val="FootnoteText"/>
      </w:pPr>
      <w:r w:rsidRPr="00DA35A0">
        <w:rPr>
          <w:rStyle w:val="FootnoteReference"/>
          <w:color w:val="44546A" w:themeColor="text2"/>
          <w:sz w:val="18"/>
          <w:szCs w:val="18"/>
        </w:rPr>
        <w:footnoteRef/>
      </w:r>
      <w:r>
        <w:t xml:space="preserve"> </w:t>
      </w:r>
      <w:r w:rsidRPr="00DA35A0">
        <w:rPr>
          <w:color w:val="44546A" w:themeColor="text2"/>
          <w:sz w:val="18"/>
          <w:szCs w:val="18"/>
        </w:rPr>
        <w:t xml:space="preserve">The emissions sources for </w:t>
      </w:r>
      <w:r w:rsidR="00BB65D8" w:rsidRPr="00DA35A0">
        <w:rPr>
          <w:color w:val="44546A" w:themeColor="text2"/>
          <w:sz w:val="18"/>
          <w:szCs w:val="18"/>
        </w:rPr>
        <w:t xml:space="preserve">the CAML’s Scope 1 </w:t>
      </w:r>
      <w:r w:rsidRPr="00DA35A0">
        <w:rPr>
          <w:color w:val="44546A" w:themeColor="text2"/>
          <w:sz w:val="18"/>
          <w:szCs w:val="18"/>
        </w:rPr>
        <w:t>can be found in</w:t>
      </w:r>
      <w:r w:rsidRPr="00DA35A0">
        <w:rPr>
          <w:rStyle w:val="Hyperlink"/>
          <w:sz w:val="18"/>
          <w:szCs w:val="18"/>
        </w:rPr>
        <w:t xml:space="preserve"> </w:t>
      </w:r>
      <w:hyperlink w:anchor="_Appendix_3_–" w:history="1">
        <w:r w:rsidRPr="00DA35A0">
          <w:rPr>
            <w:rStyle w:val="Hyperlink"/>
            <w:sz w:val="18"/>
            <w:szCs w:val="18"/>
          </w:rPr>
          <w:t>Appendix 3</w:t>
        </w:r>
      </w:hyperlink>
      <w:r>
        <w:t>.</w:t>
      </w:r>
    </w:p>
  </w:footnote>
  <w:footnote w:id="3">
    <w:p w14:paraId="63EC5FB4" w14:textId="7B8B1708" w:rsidR="002A6CF9" w:rsidRDefault="002A6CF9">
      <w:pPr>
        <w:pStyle w:val="FootnoteText"/>
      </w:pPr>
      <w:r>
        <w:rPr>
          <w:rStyle w:val="FootnoteReference"/>
        </w:rPr>
        <w:footnoteRef/>
      </w:r>
      <w:r>
        <w:t xml:space="preserve"> </w:t>
      </w:r>
      <w:r w:rsidRPr="00DA35A0">
        <w:rPr>
          <w:color w:val="44546A" w:themeColor="text2"/>
          <w:sz w:val="18"/>
          <w:szCs w:val="18"/>
        </w:rPr>
        <w:t>The emissions sources for the CAML’s Scope 2 can be found in</w:t>
      </w:r>
      <w:r w:rsidRPr="00DA35A0">
        <w:rPr>
          <w:rStyle w:val="Hyperlink"/>
          <w:sz w:val="18"/>
          <w:szCs w:val="18"/>
        </w:rPr>
        <w:t xml:space="preserve"> </w:t>
      </w:r>
      <w:hyperlink w:anchor="_Appendix_3_–" w:history="1">
        <w:r w:rsidRPr="00DA35A0">
          <w:rPr>
            <w:rStyle w:val="Hyperlink"/>
            <w:sz w:val="18"/>
            <w:szCs w:val="18"/>
          </w:rPr>
          <w:t>Appendix 3</w:t>
        </w:r>
      </w:hyperlink>
      <w:r>
        <w:t>.</w:t>
      </w:r>
    </w:p>
  </w:footnote>
  <w:footnote w:id="4">
    <w:p w14:paraId="2EEF40CB" w14:textId="3C4B1694" w:rsidR="00C541F3" w:rsidRPr="00395A39" w:rsidRDefault="00C541F3">
      <w:pPr>
        <w:pStyle w:val="FootnoteText"/>
        <w:rPr>
          <w:sz w:val="18"/>
          <w:szCs w:val="18"/>
          <w:lang w:val="pt-PT"/>
        </w:rPr>
      </w:pPr>
      <w:r w:rsidRPr="00BF050C">
        <w:rPr>
          <w:rStyle w:val="FootnoteReference"/>
          <w:color w:val="44546A" w:themeColor="text2"/>
          <w:sz w:val="18"/>
          <w:szCs w:val="18"/>
        </w:rPr>
        <w:footnoteRef/>
      </w:r>
      <w:r w:rsidRPr="00BF050C">
        <w:rPr>
          <w:color w:val="44546A" w:themeColor="text2"/>
          <w:sz w:val="18"/>
          <w:szCs w:val="18"/>
          <w:lang w:val="pt-PT"/>
        </w:rPr>
        <w:t xml:space="preserve"> </w:t>
      </w:r>
      <w:r w:rsidR="009B4AAA" w:rsidRPr="00BF050C">
        <w:rPr>
          <w:color w:val="44546A" w:themeColor="text2"/>
          <w:sz w:val="18"/>
          <w:szCs w:val="18"/>
          <w:lang w:val="pt-PT"/>
        </w:rPr>
        <w:t xml:space="preserve">Greenhouse Gas Protocol </w:t>
      </w:r>
      <w:r w:rsidR="002D6B76" w:rsidRPr="00BF050C">
        <w:rPr>
          <w:color w:val="44546A" w:themeColor="text2"/>
          <w:sz w:val="18"/>
          <w:szCs w:val="18"/>
          <w:lang w:val="pt-PT"/>
        </w:rPr>
        <w:t xml:space="preserve">(2011) </w:t>
      </w:r>
      <w:hyperlink r:id="rId1" w:history="1">
        <w:r w:rsidR="002D6B76" w:rsidRPr="00395A39">
          <w:rPr>
            <w:rStyle w:val="Hyperlink"/>
            <w:sz w:val="18"/>
            <w:szCs w:val="18"/>
            <w:lang w:val="pt-PT"/>
          </w:rPr>
          <w:t>https://ghgprotocol.org/sites/default/files/standards/Corporate-Value-Chain-Accounting-Reporing-Standard_041613_2.pdf</w:t>
        </w:r>
      </w:hyperlink>
      <w:r w:rsidR="002D6B76" w:rsidRPr="00395A39">
        <w:rPr>
          <w:sz w:val="18"/>
          <w:szCs w:val="18"/>
          <w:lang w:val="pt-PT"/>
        </w:rPr>
        <w:t xml:space="preserve"> </w:t>
      </w:r>
    </w:p>
  </w:footnote>
  <w:footnote w:id="5">
    <w:p w14:paraId="38606A40" w14:textId="1B2713D0" w:rsidR="00EC1A8B" w:rsidRPr="00395A39" w:rsidRDefault="00EC1A8B">
      <w:pPr>
        <w:pStyle w:val="FootnoteText"/>
        <w:rPr>
          <w:sz w:val="18"/>
          <w:szCs w:val="18"/>
          <w:lang w:val="pt-PT"/>
        </w:rPr>
      </w:pPr>
      <w:r w:rsidRPr="00BF050C">
        <w:rPr>
          <w:rStyle w:val="FootnoteReference"/>
          <w:color w:val="44546A" w:themeColor="text2"/>
          <w:sz w:val="18"/>
          <w:szCs w:val="18"/>
        </w:rPr>
        <w:footnoteRef/>
      </w:r>
      <w:r w:rsidRPr="00BF050C">
        <w:rPr>
          <w:color w:val="44546A" w:themeColor="text2"/>
          <w:sz w:val="18"/>
          <w:szCs w:val="18"/>
          <w:lang w:val="pt-PT"/>
        </w:rPr>
        <w:t xml:space="preserve"> </w:t>
      </w:r>
      <w:r w:rsidRPr="00BF050C">
        <w:rPr>
          <w:color w:val="44546A" w:themeColor="text2"/>
          <w:sz w:val="18"/>
          <w:szCs w:val="18"/>
          <w:lang w:val="pt-PT"/>
        </w:rPr>
        <w:t>Greenhouse Gas Protocol</w:t>
      </w:r>
      <w:r w:rsidR="00B27A72" w:rsidRPr="00BF050C">
        <w:rPr>
          <w:color w:val="44546A" w:themeColor="text2"/>
          <w:sz w:val="18"/>
          <w:szCs w:val="18"/>
          <w:lang w:val="pt-PT"/>
        </w:rPr>
        <w:t xml:space="preserve"> (2013) </w:t>
      </w:r>
      <w:hyperlink r:id="rId2" w:history="1">
        <w:r w:rsidR="003A064E" w:rsidRPr="00395A39">
          <w:rPr>
            <w:rStyle w:val="Hyperlink"/>
            <w:sz w:val="18"/>
            <w:szCs w:val="18"/>
            <w:lang w:val="pt-PT"/>
          </w:rPr>
          <w:t>https://ghgprotocol.org/sites/default/files/2022-12/Required%20gases%20and%20GWP%20values_0.pdf</w:t>
        </w:r>
      </w:hyperlink>
      <w:r w:rsidR="003A064E" w:rsidRPr="00395A39">
        <w:rPr>
          <w:sz w:val="18"/>
          <w:szCs w:val="18"/>
          <w:lang w:val="pt-PT"/>
        </w:rPr>
        <w:t xml:space="preserve"> </w:t>
      </w:r>
    </w:p>
  </w:footnote>
  <w:footnote w:id="6">
    <w:p w14:paraId="3005BA5C" w14:textId="77777777" w:rsidR="008C22EE" w:rsidRPr="00395A39" w:rsidRDefault="008C22EE" w:rsidP="008C22EE">
      <w:pPr>
        <w:pStyle w:val="FootnoteText"/>
        <w:rPr>
          <w:lang w:val="pt-PT"/>
        </w:rPr>
      </w:pPr>
      <w:r w:rsidRPr="00BF050C">
        <w:rPr>
          <w:rStyle w:val="FootnoteReference"/>
          <w:color w:val="44546A" w:themeColor="text2"/>
          <w:sz w:val="18"/>
          <w:szCs w:val="18"/>
        </w:rPr>
        <w:footnoteRef/>
      </w:r>
      <w:r w:rsidRPr="00BF050C">
        <w:rPr>
          <w:color w:val="44546A" w:themeColor="text2"/>
          <w:sz w:val="18"/>
          <w:szCs w:val="18"/>
          <w:lang w:val="pt-PT"/>
        </w:rPr>
        <w:t xml:space="preserve"> </w:t>
      </w:r>
      <w:r w:rsidRPr="00BF050C">
        <w:rPr>
          <w:color w:val="44546A" w:themeColor="text2"/>
          <w:sz w:val="18"/>
          <w:szCs w:val="18"/>
          <w:lang w:val="pt-PT"/>
        </w:rPr>
        <w:t xml:space="preserve">Greenhouse Gas Protocol (2013) </w:t>
      </w:r>
      <w:hyperlink r:id="rId3" w:history="1">
        <w:r w:rsidRPr="00395A39">
          <w:rPr>
            <w:rStyle w:val="Hyperlink"/>
            <w:sz w:val="18"/>
            <w:szCs w:val="18"/>
            <w:lang w:val="pt-PT"/>
          </w:rPr>
          <w:t>https://ghgprotocol.org/sites/default/files/2023-03/Scope3_Calculation_Guidance_0%5B1%5D.pdf</w:t>
        </w:r>
      </w:hyperlink>
      <w:r w:rsidRPr="00395A39">
        <w:rPr>
          <w:sz w:val="18"/>
          <w:szCs w:val="18"/>
          <w:lang w:val="pt-PT"/>
        </w:rPr>
        <w:t xml:space="preserve"> </w:t>
      </w:r>
    </w:p>
  </w:footnote>
  <w:footnote w:id="7">
    <w:p w14:paraId="590888EC" w14:textId="27E17B25" w:rsidR="004B465C" w:rsidRPr="00DA35A0" w:rsidRDefault="004B465C" w:rsidP="004B465C">
      <w:pPr>
        <w:pStyle w:val="FootnoteText"/>
        <w:rPr>
          <w:rStyle w:val="Hyperlink"/>
          <w:highlight w:val="yellow"/>
        </w:rPr>
      </w:pPr>
      <w:r w:rsidRPr="00BF050C">
        <w:rPr>
          <w:rStyle w:val="FootnoteReference"/>
          <w:color w:val="44546A" w:themeColor="text2"/>
          <w:sz w:val="18"/>
          <w:szCs w:val="18"/>
        </w:rPr>
        <w:footnoteRef/>
      </w:r>
      <w:r w:rsidRPr="00DA35A0">
        <w:rPr>
          <w:color w:val="44546A" w:themeColor="text2"/>
          <w:sz w:val="18"/>
          <w:szCs w:val="18"/>
        </w:rPr>
        <w:t xml:space="preserve"> </w:t>
      </w:r>
      <w:r w:rsidR="0004293A" w:rsidRPr="00DA35A0">
        <w:rPr>
          <w:color w:val="44546A" w:themeColor="text2"/>
          <w:sz w:val="18"/>
          <w:szCs w:val="18"/>
        </w:rPr>
        <w:t>U.S. Bureau of Economic Analysis</w:t>
      </w:r>
      <w:r w:rsidR="009371E1" w:rsidRPr="00DA35A0">
        <w:rPr>
          <w:color w:val="44546A" w:themeColor="text2"/>
          <w:sz w:val="18"/>
          <w:szCs w:val="18"/>
        </w:rPr>
        <w:t xml:space="preserve"> (2024)</w:t>
      </w:r>
      <w:r w:rsidR="0004293A" w:rsidRPr="00DA35A0">
        <w:rPr>
          <w:color w:val="44546A" w:themeColor="text2"/>
          <w:sz w:val="18"/>
          <w:szCs w:val="18"/>
        </w:rPr>
        <w:t xml:space="preserve"> </w:t>
      </w:r>
      <w:bookmarkStart w:id="10" w:name="_Hlk193193935"/>
      <w:r w:rsidR="009371E1" w:rsidRPr="00DA35A0">
        <w:rPr>
          <w:rStyle w:val="Hyperlink"/>
          <w:sz w:val="18"/>
          <w:szCs w:val="18"/>
        </w:rPr>
        <w:t xml:space="preserve">https://apps.bea.gov/iTable/?reqid=150&amp;step=2&amp;isuri=1&amp;categories=gdpxind#eyJhcHBpZCI6MTUwLCJzdGVwcyI6WzEsMiwzXSwiZGF0YSI6W1siY2F0ZWdvcmllcyIsIkdkcHhJbmQiXSxbIlRhYmxlX0xpc3QiLCIxOCJdXX0= </w:t>
      </w:r>
      <w:bookmarkEnd w:id="10"/>
    </w:p>
  </w:footnote>
  <w:footnote w:id="8">
    <w:p w14:paraId="657F55DF" w14:textId="37D3A8E2" w:rsidR="00C93BB2" w:rsidRPr="00DA35A0" w:rsidRDefault="00C93BB2" w:rsidP="00C93BB2">
      <w:pPr>
        <w:pStyle w:val="FootnoteText"/>
        <w:rPr>
          <w:highlight w:val="yellow"/>
        </w:rPr>
      </w:pPr>
      <w:r w:rsidRPr="00C24FAE">
        <w:rPr>
          <w:rStyle w:val="FootnoteReference"/>
          <w:color w:val="44546A" w:themeColor="text2"/>
        </w:rPr>
        <w:footnoteRef/>
      </w:r>
      <w:r w:rsidRPr="00C24FAE">
        <w:rPr>
          <w:color w:val="44546A" w:themeColor="text2"/>
        </w:rPr>
        <w:t xml:space="preserve"> </w:t>
      </w:r>
      <w:r w:rsidR="00965F06" w:rsidRPr="00DA35A0">
        <w:rPr>
          <w:color w:val="44546A" w:themeColor="text2"/>
          <w:sz w:val="18"/>
          <w:szCs w:val="18"/>
        </w:rPr>
        <w:t>Stadler, K. W.-J.-F. (2021</w:t>
      </w:r>
      <w:r w:rsidRPr="001F5F65">
        <w:rPr>
          <w:color w:val="44546A" w:themeColor="text2"/>
          <w:sz w:val="18"/>
          <w:szCs w:val="18"/>
        </w:rPr>
        <w:t xml:space="preserve">) </w:t>
      </w:r>
      <w:bookmarkStart w:id="14" w:name="_Hlk193193855"/>
      <w:r w:rsidR="001F5F65" w:rsidRPr="00DA35A0">
        <w:rPr>
          <w:rStyle w:val="Hyperlink"/>
          <w:sz w:val="18"/>
          <w:szCs w:val="18"/>
        </w:rPr>
        <w:t>https://doi.org/10.5281/zenodo.5589597</w:t>
      </w:r>
      <w:bookmarkEnd w:id="14"/>
    </w:p>
  </w:footnote>
  <w:footnote w:id="9">
    <w:p w14:paraId="610E41A6" w14:textId="7A30F1A5" w:rsidR="00C93BB2" w:rsidRPr="007533ED" w:rsidRDefault="00C93BB2" w:rsidP="00C93BB2">
      <w:pPr>
        <w:pStyle w:val="FootnoteText"/>
      </w:pPr>
      <w:r w:rsidRPr="001F1484">
        <w:rPr>
          <w:rStyle w:val="FootnoteReference"/>
          <w:color w:val="44546A" w:themeColor="text2"/>
        </w:rPr>
        <w:footnoteRef/>
      </w:r>
      <w:r w:rsidRPr="001F1484">
        <w:rPr>
          <w:color w:val="44546A" w:themeColor="text2"/>
        </w:rPr>
        <w:t xml:space="preserve"> </w:t>
      </w:r>
      <w:r w:rsidRPr="001F1484">
        <w:rPr>
          <w:color w:val="44546A" w:themeColor="text2"/>
          <w:sz w:val="18"/>
          <w:szCs w:val="18"/>
        </w:rPr>
        <w:t>U.S Bureau of Economic Analysis (202</w:t>
      </w:r>
      <w:r w:rsidR="001F5F65" w:rsidRPr="00DA35A0">
        <w:rPr>
          <w:color w:val="44546A" w:themeColor="text2"/>
          <w:sz w:val="18"/>
          <w:szCs w:val="18"/>
        </w:rPr>
        <w:t>4</w:t>
      </w:r>
      <w:r w:rsidRPr="001F1484">
        <w:rPr>
          <w:color w:val="44546A" w:themeColor="text2"/>
          <w:sz w:val="18"/>
          <w:szCs w:val="18"/>
        </w:rPr>
        <w:t xml:space="preserve">) </w:t>
      </w:r>
      <w:r w:rsidR="001F1484" w:rsidRPr="00DA35A0">
        <w:rPr>
          <w:rStyle w:val="Hyperlink"/>
          <w:sz w:val="18"/>
          <w:szCs w:val="18"/>
        </w:rPr>
        <w:t>https://apps.bea.gov/iTable/?reqid=150&amp;step=2&amp;isuri=1&amp;categories=gdpxind#eyJhcHBpZCI6MTUwLCJzdGVwcyI6WzEsMiwzXSwiZGF0YSI6W1siY2F0ZWdvcmllcyIsIkdkcHhJbmQiXSxbIlRhYmxlX0xpc3QiLCIxOCJdXX0=</w:t>
      </w:r>
      <w:r w:rsidR="001F1484" w:rsidRPr="007533ED">
        <w:t xml:space="preserve"> </w:t>
      </w:r>
    </w:p>
  </w:footnote>
  <w:footnote w:id="10">
    <w:p w14:paraId="37022E94" w14:textId="7D00C6B1" w:rsidR="00714059" w:rsidRDefault="00714059" w:rsidP="00714059">
      <w:pPr>
        <w:pStyle w:val="FootnoteText"/>
      </w:pPr>
      <w:r w:rsidRPr="007533ED">
        <w:rPr>
          <w:rStyle w:val="FootnoteReference"/>
          <w:color w:val="44546A" w:themeColor="text2"/>
        </w:rPr>
        <w:footnoteRef/>
      </w:r>
      <w:r w:rsidRPr="007533ED">
        <w:rPr>
          <w:color w:val="44546A" w:themeColor="text2"/>
        </w:rPr>
        <w:t xml:space="preserve"> </w:t>
      </w:r>
      <w:r w:rsidR="001F1484" w:rsidRPr="007533ED">
        <w:rPr>
          <w:color w:val="44546A" w:themeColor="text2"/>
          <w:sz w:val="18"/>
          <w:szCs w:val="18"/>
        </w:rPr>
        <w:t xml:space="preserve">U.S Bureau of Economic Analysis (2024) </w:t>
      </w:r>
      <w:r w:rsidR="001F1484" w:rsidRPr="007533ED">
        <w:rPr>
          <w:rStyle w:val="Hyperlink"/>
          <w:sz w:val="18"/>
          <w:szCs w:val="18"/>
        </w:rPr>
        <w:t>https://apps.bea.gov/iTable/?reqid=150&amp;step=2&amp;isuri=1&amp;categories=gdpxind#eyJhcHBpZCI6MTUwLCJzdGVwcyI6WzEsMiwzXSwiZGF0YSI6W1siY2F0ZWdvcmllcyIsIkdkcHhJbmQiXSxbIlRhYmxlX0xpc3QiLCIxOCJdXX0=</w:t>
      </w:r>
      <w:r w:rsidR="001F1484" w:rsidRPr="00C23F53">
        <w:t xml:space="preserve"> </w:t>
      </w:r>
    </w:p>
  </w:footnote>
  <w:footnote w:id="11">
    <w:p w14:paraId="36B3BF4C" w14:textId="6969533C" w:rsidR="00A932A6" w:rsidRDefault="00A932A6">
      <w:pPr>
        <w:pStyle w:val="FootnoteText"/>
      </w:pPr>
      <w:r>
        <w:rPr>
          <w:rStyle w:val="FootnoteReference"/>
        </w:rPr>
        <w:footnoteRef/>
      </w:r>
      <w:r>
        <w:t xml:space="preserve"> </w:t>
      </w:r>
      <w:r w:rsidRPr="00E6041F">
        <w:rPr>
          <w:color w:val="44546A" w:themeColor="text2"/>
          <w:sz w:val="18"/>
          <w:szCs w:val="18"/>
        </w:rPr>
        <w:t>Stadler, K. W.-J.-F. (2021</w:t>
      </w:r>
      <w:r w:rsidRPr="001F5F65">
        <w:rPr>
          <w:color w:val="44546A" w:themeColor="text2"/>
          <w:sz w:val="18"/>
          <w:szCs w:val="18"/>
        </w:rPr>
        <w:t xml:space="preserve">) </w:t>
      </w:r>
      <w:r w:rsidRPr="00E6041F">
        <w:rPr>
          <w:rStyle w:val="Hyperlink"/>
          <w:sz w:val="18"/>
          <w:szCs w:val="18"/>
        </w:rPr>
        <w:t>https://doi.org/10.5281/zenodo.5589597</w:t>
      </w:r>
    </w:p>
  </w:footnote>
  <w:footnote w:id="12">
    <w:p w14:paraId="4511A1A1" w14:textId="6C7ADC41" w:rsidR="0015061A" w:rsidRPr="00A25DB9" w:rsidRDefault="0015061A">
      <w:pPr>
        <w:pStyle w:val="FootnoteText"/>
      </w:pPr>
      <w:r>
        <w:rPr>
          <w:rStyle w:val="FootnoteReference"/>
        </w:rPr>
        <w:footnoteRef/>
      </w:r>
      <w:r w:rsidRPr="00A25DB9">
        <w:t xml:space="preserve"> </w:t>
      </w:r>
      <w:r w:rsidRPr="00A25DB9">
        <w:rPr>
          <w:color w:val="44546A" w:themeColor="text2"/>
          <w:sz w:val="18"/>
          <w:szCs w:val="18"/>
        </w:rPr>
        <w:t xml:space="preserve">Quantis (2023) </w:t>
      </w:r>
      <w:hyperlink r:id="rId4" w:history="1">
        <w:r w:rsidRPr="00A25DB9">
          <w:rPr>
            <w:rStyle w:val="Hyperlink"/>
            <w:sz w:val="18"/>
            <w:szCs w:val="18"/>
          </w:rPr>
          <w:t>https://quantis-suite.com/Scope-3-Evaluator/</w:t>
        </w:r>
      </w:hyperlink>
    </w:p>
  </w:footnote>
  <w:footnote w:id="13">
    <w:p w14:paraId="1EB48BE9" w14:textId="20B84637" w:rsidR="00435234" w:rsidRPr="00A25DB9" w:rsidRDefault="00435234">
      <w:pPr>
        <w:pStyle w:val="FootnoteText"/>
      </w:pPr>
      <w:r>
        <w:rPr>
          <w:rStyle w:val="FootnoteReference"/>
        </w:rPr>
        <w:footnoteRef/>
      </w:r>
      <w:r w:rsidRPr="00A25DB9">
        <w:t xml:space="preserve"> </w:t>
      </w:r>
      <w:r w:rsidRPr="00A25DB9">
        <w:rPr>
          <w:color w:val="44546A" w:themeColor="text2"/>
          <w:sz w:val="18"/>
          <w:szCs w:val="18"/>
        </w:rPr>
        <w:t xml:space="preserve">Quantis (2023) </w:t>
      </w:r>
      <w:hyperlink r:id="rId5" w:history="1">
        <w:r w:rsidRPr="00A25DB9">
          <w:rPr>
            <w:rStyle w:val="Hyperlink"/>
            <w:sz w:val="18"/>
            <w:szCs w:val="18"/>
          </w:rPr>
          <w:t>https://quantis-suite.com/Scope-3-Evaluator/</w:t>
        </w:r>
      </w:hyperlink>
    </w:p>
  </w:footnote>
  <w:footnote w:id="14">
    <w:p w14:paraId="68A4252A" w14:textId="742181B0" w:rsidR="00CF1C4C" w:rsidRPr="00863925" w:rsidRDefault="00CF1C4C">
      <w:pPr>
        <w:pStyle w:val="FootnoteText"/>
        <w:rPr>
          <w:highlight w:val="yellow"/>
        </w:rPr>
      </w:pPr>
      <w:r>
        <w:rPr>
          <w:rStyle w:val="FootnoteReference"/>
        </w:rPr>
        <w:footnoteRef/>
      </w:r>
      <w:r>
        <w:t xml:space="preserve"> </w:t>
      </w:r>
      <w:r w:rsidRPr="00E6041F">
        <w:rPr>
          <w:color w:val="44546A" w:themeColor="text2"/>
          <w:sz w:val="18"/>
          <w:szCs w:val="18"/>
        </w:rPr>
        <w:t>Stadler, K. W.-J.-F. (2021</w:t>
      </w:r>
      <w:r w:rsidRPr="001F5F65">
        <w:rPr>
          <w:color w:val="44546A" w:themeColor="text2"/>
          <w:sz w:val="18"/>
          <w:szCs w:val="18"/>
        </w:rPr>
        <w:t xml:space="preserve">) </w:t>
      </w:r>
      <w:r w:rsidRPr="00E6041F">
        <w:rPr>
          <w:rStyle w:val="Hyperlink"/>
          <w:sz w:val="18"/>
          <w:szCs w:val="18"/>
        </w:rPr>
        <w:t>https://doi.org/10.5281/zenodo.5589597</w:t>
      </w:r>
    </w:p>
  </w:footnote>
  <w:footnote w:id="15">
    <w:p w14:paraId="65486E52" w14:textId="477CD25F" w:rsidR="00C93BB2" w:rsidRPr="00A01D49" w:rsidRDefault="00C93BB2" w:rsidP="00C93BB2">
      <w:pPr>
        <w:pStyle w:val="FootnoteText"/>
      </w:pPr>
      <w:r w:rsidRPr="00A01D49">
        <w:rPr>
          <w:rStyle w:val="FootnoteReference"/>
        </w:rPr>
        <w:footnoteRef/>
      </w:r>
      <w:r w:rsidRPr="00A01D49">
        <w:t xml:space="preserve"> </w:t>
      </w:r>
      <w:r w:rsidR="00A01D49" w:rsidRPr="00A01D49">
        <w:rPr>
          <w:color w:val="44546A" w:themeColor="text2"/>
          <w:sz w:val="18"/>
          <w:szCs w:val="18"/>
        </w:rPr>
        <w:t xml:space="preserve">Stadler, K. W.-J.-F. (2021) </w:t>
      </w:r>
      <w:r w:rsidR="00A01D49" w:rsidRPr="00A01D49">
        <w:rPr>
          <w:rStyle w:val="Hyperlink"/>
          <w:sz w:val="18"/>
          <w:szCs w:val="18"/>
        </w:rPr>
        <w:t>https://doi.org/10.5281/zenodo.5589597</w:t>
      </w:r>
    </w:p>
  </w:footnote>
  <w:footnote w:id="16">
    <w:p w14:paraId="26BD1C1A" w14:textId="6D09E7D8" w:rsidR="00C93BB2" w:rsidRPr="00A01D49" w:rsidRDefault="00C93BB2" w:rsidP="00C93BB2">
      <w:pPr>
        <w:pStyle w:val="FootnoteText"/>
      </w:pPr>
      <w:r w:rsidRPr="00A01D49">
        <w:rPr>
          <w:rStyle w:val="FootnoteReference"/>
        </w:rPr>
        <w:footnoteRef/>
      </w:r>
      <w:r w:rsidRPr="00A01D49">
        <w:t xml:space="preserve"> </w:t>
      </w:r>
      <w:r w:rsidR="00A01D49" w:rsidRPr="00A01D49">
        <w:rPr>
          <w:color w:val="44546A" w:themeColor="text2"/>
          <w:sz w:val="18"/>
          <w:szCs w:val="18"/>
        </w:rPr>
        <w:t xml:space="preserve">U.S Bureau of Economic Analysis (2024) </w:t>
      </w:r>
      <w:r w:rsidR="00A01D49" w:rsidRPr="00A01D49">
        <w:rPr>
          <w:rStyle w:val="Hyperlink"/>
          <w:sz w:val="18"/>
          <w:szCs w:val="18"/>
        </w:rPr>
        <w:t>https://apps.bea.gov/iTable/?reqid=150&amp;step=2&amp;isuri=1&amp;categories=gdpxind#eyJhcHBpZCI6MTUwLCJzdGVwcyI6WzEsMiwzXSwiZGF0YSI6W1siY2F0ZWdvcmllcyIsIkdkcHhJbmQiXSxbIlRhYmxlX0xpc3QiLCIxOCJdXX0=</w:t>
      </w:r>
      <w:r w:rsidRPr="00A01D49">
        <w:rPr>
          <w:sz w:val="18"/>
          <w:szCs w:val="18"/>
        </w:rPr>
        <w:t xml:space="preserve"> </w:t>
      </w:r>
    </w:p>
  </w:footnote>
  <w:footnote w:id="17">
    <w:p w14:paraId="37A0B22E" w14:textId="7607F266" w:rsidR="00FF73DA" w:rsidRPr="00A25DB9" w:rsidRDefault="00FF73DA">
      <w:pPr>
        <w:pStyle w:val="FootnoteText"/>
      </w:pPr>
      <w:r>
        <w:rPr>
          <w:rStyle w:val="FootnoteReference"/>
        </w:rPr>
        <w:footnoteRef/>
      </w:r>
      <w:r w:rsidRPr="00A25DB9">
        <w:t xml:space="preserve"> </w:t>
      </w:r>
      <w:r w:rsidRPr="00A25DB9">
        <w:rPr>
          <w:color w:val="44546A" w:themeColor="text2"/>
          <w:sz w:val="18"/>
          <w:szCs w:val="18"/>
        </w:rPr>
        <w:t xml:space="preserve">Stadler, K. W.-J.-F. (2021) </w:t>
      </w:r>
      <w:r w:rsidRPr="00A25DB9">
        <w:rPr>
          <w:rStyle w:val="Hyperlink"/>
          <w:sz w:val="18"/>
          <w:szCs w:val="18"/>
        </w:rPr>
        <w:t>https://doi.org/10.5281/zenodo.5589597</w:t>
      </w:r>
    </w:p>
  </w:footnote>
  <w:footnote w:id="18">
    <w:p w14:paraId="19C8FD7B" w14:textId="33AAC3BB" w:rsidR="00151C43" w:rsidRPr="00A25DB9" w:rsidRDefault="00151C43">
      <w:pPr>
        <w:pStyle w:val="FootnoteText"/>
      </w:pPr>
      <w:r>
        <w:rPr>
          <w:rStyle w:val="FootnoteReference"/>
        </w:rPr>
        <w:footnoteRef/>
      </w:r>
      <w:r w:rsidRPr="00A25DB9">
        <w:t xml:space="preserve"> </w:t>
      </w:r>
      <w:r w:rsidRPr="00A25DB9">
        <w:rPr>
          <w:color w:val="44546A" w:themeColor="text2"/>
          <w:sz w:val="18"/>
          <w:szCs w:val="18"/>
        </w:rPr>
        <w:t xml:space="preserve">Quantis (2023) </w:t>
      </w:r>
      <w:hyperlink r:id="rId6" w:history="1">
        <w:r w:rsidRPr="00A25DB9">
          <w:rPr>
            <w:rStyle w:val="Hyperlink"/>
            <w:sz w:val="18"/>
            <w:szCs w:val="18"/>
          </w:rPr>
          <w:t>https://quantis-suite.com/Scope-3-Evaluator/</w:t>
        </w:r>
      </w:hyperlink>
    </w:p>
  </w:footnote>
  <w:footnote w:id="19">
    <w:p w14:paraId="0225D61B" w14:textId="77777777" w:rsidR="001832BB" w:rsidRPr="00A25DB9" w:rsidRDefault="001832BB" w:rsidP="001832BB">
      <w:pPr>
        <w:pStyle w:val="FootnoteText"/>
      </w:pPr>
      <w:r w:rsidRPr="00A01D49">
        <w:rPr>
          <w:rStyle w:val="FootnoteReference"/>
        </w:rPr>
        <w:footnoteRef/>
      </w:r>
      <w:r w:rsidRPr="00A25DB9">
        <w:t xml:space="preserve"> </w:t>
      </w:r>
      <w:r w:rsidRPr="00A25DB9">
        <w:rPr>
          <w:color w:val="44546A" w:themeColor="text2"/>
          <w:sz w:val="18"/>
          <w:szCs w:val="18"/>
        </w:rPr>
        <w:t xml:space="preserve">Stadler, K. W.-J.-F. (2021) </w:t>
      </w:r>
      <w:r w:rsidRPr="00A25DB9">
        <w:rPr>
          <w:rStyle w:val="Hyperlink"/>
          <w:sz w:val="18"/>
          <w:szCs w:val="18"/>
        </w:rPr>
        <w:t>https://doi.org/10.5281/zenodo.5589597</w:t>
      </w:r>
    </w:p>
  </w:footnote>
  <w:footnote w:id="20">
    <w:p w14:paraId="0093865B" w14:textId="77777777" w:rsidR="001832BB" w:rsidRPr="00A01D49" w:rsidRDefault="001832BB" w:rsidP="001832BB">
      <w:pPr>
        <w:pStyle w:val="FootnoteText"/>
      </w:pPr>
      <w:r w:rsidRPr="00A01D49">
        <w:rPr>
          <w:rStyle w:val="FootnoteReference"/>
        </w:rPr>
        <w:footnoteRef/>
      </w:r>
      <w:r w:rsidRPr="00A01D49">
        <w:t xml:space="preserve"> </w:t>
      </w:r>
      <w:r w:rsidRPr="00A01D49">
        <w:rPr>
          <w:color w:val="44546A" w:themeColor="text2"/>
          <w:sz w:val="18"/>
          <w:szCs w:val="18"/>
        </w:rPr>
        <w:t xml:space="preserve">U.S Bureau of Economic Analysis (2024) </w:t>
      </w:r>
      <w:r w:rsidRPr="00A01D49">
        <w:rPr>
          <w:rStyle w:val="Hyperlink"/>
          <w:sz w:val="18"/>
          <w:szCs w:val="18"/>
        </w:rPr>
        <w:t>https://apps.bea.gov/iTable/?reqid=150&amp;step=2&amp;isuri=1&amp;categories=gdpxind#eyJhcHBpZCI6MTUwLCJzdGVwcyI6WzEsMiwzXSwiZGF0YSI6W1siY2F0ZWdvcmllcyIsIkdkcHhJbmQiXSxbIlRhYmxlX0xpc3QiLCIxOCJdXX0=</w:t>
      </w:r>
      <w:r w:rsidRPr="00A01D49">
        <w:rPr>
          <w:sz w:val="18"/>
          <w:szCs w:val="18"/>
        </w:rPr>
        <w:t xml:space="preserve"> </w:t>
      </w:r>
    </w:p>
  </w:footnote>
  <w:footnote w:id="21">
    <w:p w14:paraId="31C6CD00" w14:textId="57291192" w:rsidR="007A5E40" w:rsidRDefault="007A5E40">
      <w:pPr>
        <w:pStyle w:val="FootnoteText"/>
      </w:pPr>
      <w:r>
        <w:rPr>
          <w:rStyle w:val="FootnoteReference"/>
        </w:rPr>
        <w:footnoteRef/>
      </w:r>
      <w:r>
        <w:t xml:space="preserve"> </w:t>
      </w:r>
      <w:r w:rsidRPr="00DA35A0">
        <w:rPr>
          <w:color w:val="44546A" w:themeColor="text2"/>
          <w:sz w:val="18"/>
          <w:szCs w:val="18"/>
        </w:rPr>
        <w:t>Brander, Matthew, et al (2011).</w:t>
      </w:r>
      <w:r w:rsidRPr="00D661F2">
        <w:rPr>
          <w:sz w:val="18"/>
          <w:szCs w:val="18"/>
        </w:rPr>
        <w:t xml:space="preserve"> </w:t>
      </w:r>
      <w:hyperlink r:id="rId7" w:history="1">
        <w:r w:rsidRPr="00D661F2">
          <w:rPr>
            <w:rStyle w:val="Hyperlink"/>
            <w:sz w:val="18"/>
            <w:szCs w:val="18"/>
          </w:rPr>
          <w:t>https://ecometrica.com/assets/Electricity-specific-emission-factors-for-grid-electricity.pdf</w:t>
        </w:r>
      </w:hyperlink>
    </w:p>
  </w:footnote>
  <w:footnote w:id="22">
    <w:p w14:paraId="7C404AEE" w14:textId="08AB0A07" w:rsidR="00C93BB2" w:rsidRDefault="00C93BB2" w:rsidP="00C93BB2">
      <w:pPr>
        <w:pStyle w:val="FootnoteText"/>
      </w:pPr>
      <w:r w:rsidRPr="00343F21">
        <w:rPr>
          <w:rStyle w:val="FootnoteReference"/>
        </w:rPr>
        <w:footnoteRef/>
      </w:r>
      <w:r w:rsidRPr="00343F21">
        <w:t xml:space="preserve"> </w:t>
      </w:r>
      <w:r w:rsidRPr="00DA35A0">
        <w:rPr>
          <w:color w:val="44546A" w:themeColor="text2"/>
          <w:sz w:val="18"/>
          <w:szCs w:val="18"/>
        </w:rPr>
        <w:t>U.S. Environmental Protection Agency (202</w:t>
      </w:r>
      <w:r w:rsidR="00CB3393" w:rsidRPr="00DA35A0">
        <w:rPr>
          <w:color w:val="44546A" w:themeColor="text2"/>
          <w:sz w:val="18"/>
          <w:szCs w:val="18"/>
        </w:rPr>
        <w:t>5</w:t>
      </w:r>
      <w:r w:rsidRPr="00DA35A0">
        <w:rPr>
          <w:color w:val="44546A" w:themeColor="text2"/>
          <w:sz w:val="18"/>
          <w:szCs w:val="18"/>
        </w:rPr>
        <w:t>)</w:t>
      </w:r>
      <w:hyperlink r:id="rId8" w:history="1">
        <w:r w:rsidR="00B300ED" w:rsidRPr="00DA35A0">
          <w:rPr>
            <w:rStyle w:val="Hyperlink"/>
            <w:sz w:val="18"/>
            <w:szCs w:val="18"/>
          </w:rPr>
          <w:t>https://www.epa.gov/system/files/documents/2025-01/ghg-emission-factors-hub-2025.pdf</w:t>
        </w:r>
      </w:hyperlink>
      <w:r w:rsidRPr="00DA35A0">
        <w:rPr>
          <w:rStyle w:val="Hyperlink"/>
        </w:rPr>
        <w:t xml:space="preserve"> </w:t>
      </w:r>
    </w:p>
  </w:footnote>
  <w:footnote w:id="23">
    <w:p w14:paraId="5B79CC12" w14:textId="66734E5C" w:rsidR="00527185" w:rsidRDefault="00527185">
      <w:pPr>
        <w:pStyle w:val="FootnoteText"/>
      </w:pPr>
      <w:r>
        <w:rPr>
          <w:rStyle w:val="FootnoteReference"/>
        </w:rPr>
        <w:footnoteRef/>
      </w:r>
      <w:r>
        <w:t xml:space="preserve"> </w:t>
      </w:r>
      <w:r w:rsidRPr="00DA35A0">
        <w:rPr>
          <w:color w:val="44546A" w:themeColor="text2"/>
          <w:sz w:val="18"/>
          <w:szCs w:val="18"/>
        </w:rPr>
        <w:t>U.S. Environmental Protection Agency (2025)</w:t>
      </w:r>
      <w:r>
        <w:rPr>
          <w:sz w:val="18"/>
          <w:szCs w:val="18"/>
        </w:rPr>
        <w:t xml:space="preserve"> </w:t>
      </w:r>
      <w:hyperlink r:id="rId9" w:history="1">
        <w:r w:rsidRPr="0054348E">
          <w:rPr>
            <w:rStyle w:val="Hyperlink"/>
            <w:sz w:val="18"/>
            <w:szCs w:val="18"/>
          </w:rPr>
          <w:t>https://www.epa.gov/system/files/documents/2025-01/ghg-emission-factors-hub-2025.pdf</w:t>
        </w:r>
      </w:hyperlink>
    </w:p>
  </w:footnote>
  <w:footnote w:id="24">
    <w:p w14:paraId="525791FA" w14:textId="537C7259" w:rsidR="00A9699A" w:rsidRPr="00DA35A0" w:rsidRDefault="00A9699A" w:rsidP="00A9699A">
      <w:pPr>
        <w:pStyle w:val="FootnoteText"/>
        <w:rPr>
          <w:highlight w:val="yellow"/>
        </w:rPr>
      </w:pPr>
      <w:r w:rsidRPr="00A9699A">
        <w:rPr>
          <w:rStyle w:val="FootnoteReference"/>
          <w:color w:val="44546A" w:themeColor="text2"/>
        </w:rPr>
        <w:footnoteRef/>
      </w:r>
      <w:r w:rsidRPr="00A9699A">
        <w:rPr>
          <w:color w:val="44546A" w:themeColor="text2"/>
        </w:rPr>
        <w:t xml:space="preserve"> </w:t>
      </w:r>
      <w:r w:rsidR="0069211C" w:rsidRPr="00DA35A0">
        <w:rPr>
          <w:color w:val="44546A" w:themeColor="text2"/>
          <w:sz w:val="18"/>
          <w:szCs w:val="18"/>
        </w:rPr>
        <w:t>Department for Energy Security and Net Zero (2024)</w:t>
      </w:r>
      <w:r w:rsidR="0069211C" w:rsidRPr="00DA35A0">
        <w:rPr>
          <w:color w:val="44546A" w:themeColor="text2"/>
          <w:sz w:val="18"/>
          <w:szCs w:val="18"/>
        </w:rPr>
        <w:br/>
      </w:r>
      <w:hyperlink r:id="rId10" w:history="1">
        <w:r w:rsidR="0069211C" w:rsidRPr="0054348E">
          <w:rPr>
            <w:rStyle w:val="Hyperlink"/>
            <w:sz w:val="18"/>
            <w:szCs w:val="18"/>
          </w:rPr>
          <w:t>https://www.gov.uk/government/publications/greenhouse-gas-reporting-conversion-factors-2024</w:t>
        </w:r>
      </w:hyperlink>
      <w:r w:rsidRPr="00DA35A0">
        <w:rPr>
          <w:sz w:val="18"/>
          <w:szCs w:val="18"/>
          <w:highlight w:val="yellow"/>
        </w:rPr>
        <w:t xml:space="preserve"> </w:t>
      </w:r>
    </w:p>
  </w:footnote>
  <w:footnote w:id="25">
    <w:p w14:paraId="04881604" w14:textId="6341E234" w:rsidR="00A9699A" w:rsidRPr="00EB15F1" w:rsidRDefault="00A9699A" w:rsidP="00A9699A">
      <w:pPr>
        <w:pStyle w:val="FootnoteText"/>
      </w:pPr>
      <w:r w:rsidRPr="0069211C">
        <w:rPr>
          <w:rStyle w:val="FootnoteReference"/>
          <w:color w:val="44546A" w:themeColor="text2"/>
        </w:rPr>
        <w:footnoteRef/>
      </w:r>
      <w:r w:rsidRPr="00EB15F1">
        <w:rPr>
          <w:color w:val="44546A" w:themeColor="text2"/>
        </w:rPr>
        <w:t xml:space="preserve"> </w:t>
      </w:r>
      <w:r w:rsidRPr="00EB15F1">
        <w:rPr>
          <w:color w:val="44546A" w:themeColor="text2"/>
          <w:sz w:val="18"/>
          <w:szCs w:val="18"/>
        </w:rPr>
        <w:t xml:space="preserve">Turner </w:t>
      </w:r>
      <w:r w:rsidR="00E67234" w:rsidRPr="00EB15F1">
        <w:rPr>
          <w:color w:val="44546A" w:themeColor="text2"/>
          <w:sz w:val="18"/>
          <w:szCs w:val="18"/>
        </w:rPr>
        <w:t>D.</w:t>
      </w:r>
      <w:r w:rsidR="00E67234">
        <w:rPr>
          <w:color w:val="44546A" w:themeColor="text2"/>
          <w:sz w:val="18"/>
          <w:szCs w:val="18"/>
          <w:lang w:val="da-DK"/>
        </w:rPr>
        <w:t xml:space="preserve"> </w:t>
      </w:r>
      <w:r w:rsidRPr="00EB15F1">
        <w:rPr>
          <w:color w:val="44546A" w:themeColor="text2"/>
          <w:sz w:val="18"/>
          <w:szCs w:val="18"/>
        </w:rPr>
        <w:t>A</w:t>
      </w:r>
      <w:r w:rsidR="00E67234" w:rsidRPr="00EB15F1">
        <w:rPr>
          <w:color w:val="44546A" w:themeColor="text2"/>
          <w:sz w:val="18"/>
          <w:szCs w:val="18"/>
        </w:rPr>
        <w:t>.</w:t>
      </w:r>
      <w:r w:rsidRPr="00EB15F1">
        <w:rPr>
          <w:color w:val="44546A" w:themeColor="text2"/>
          <w:sz w:val="18"/>
          <w:szCs w:val="18"/>
        </w:rPr>
        <w:t xml:space="preserve"> et al (2015) </w:t>
      </w:r>
      <w:hyperlink r:id="rId11" w:history="1">
        <w:r w:rsidRPr="00EB15F1">
          <w:rPr>
            <w:rStyle w:val="Hyperlink"/>
            <w:sz w:val="18"/>
            <w:szCs w:val="18"/>
          </w:rPr>
          <w:t>https://www.sciencedirect.com/science/article/pii/S0921344915301245?via%3Dihub</w:t>
        </w:r>
      </w:hyperlink>
      <w:r w:rsidRPr="00EB15F1">
        <w:rPr>
          <w:sz w:val="18"/>
          <w:szCs w:val="18"/>
        </w:rPr>
        <w:t xml:space="preserve"> </w:t>
      </w:r>
    </w:p>
  </w:footnote>
  <w:footnote w:id="26">
    <w:p w14:paraId="6392C1F9" w14:textId="77777777" w:rsidR="00203133" w:rsidRPr="00DA35A0" w:rsidRDefault="00203133" w:rsidP="00203133">
      <w:pPr>
        <w:pStyle w:val="FootnoteText"/>
      </w:pPr>
      <w:r w:rsidRPr="0069211C">
        <w:rPr>
          <w:rStyle w:val="FootnoteReference"/>
          <w:color w:val="44546A" w:themeColor="text2"/>
        </w:rPr>
        <w:footnoteRef/>
      </w:r>
      <w:r w:rsidRPr="00DA35A0">
        <w:rPr>
          <w:color w:val="44546A" w:themeColor="text2"/>
        </w:rPr>
        <w:t xml:space="preserve"> </w:t>
      </w:r>
      <w:r w:rsidRPr="00DA35A0">
        <w:rPr>
          <w:color w:val="44546A" w:themeColor="text2"/>
          <w:sz w:val="18"/>
          <w:szCs w:val="18"/>
        </w:rPr>
        <w:t xml:space="preserve">Greenhouse Gas Protocol (2013) </w:t>
      </w:r>
      <w:hyperlink r:id="rId12" w:history="1">
        <w:r w:rsidRPr="00DA35A0">
          <w:rPr>
            <w:rStyle w:val="Hyperlink"/>
            <w:sz w:val="18"/>
            <w:szCs w:val="18"/>
          </w:rPr>
          <w:t>https://ghgprotocol.org/sites/default/files/2023-03/Scope3_Calculation_Guidance_0%5B1%5D.pdf</w:t>
        </w:r>
      </w:hyperlink>
      <w:r w:rsidRPr="00DA35A0">
        <w:rPr>
          <w:sz w:val="18"/>
          <w:szCs w:val="18"/>
        </w:rPr>
        <w:t xml:space="preserve"> </w:t>
      </w:r>
    </w:p>
  </w:footnote>
  <w:footnote w:id="27">
    <w:p w14:paraId="622EFD9A" w14:textId="683B9CB7" w:rsidR="00D1561F" w:rsidRPr="00DA35A0" w:rsidRDefault="00D1561F" w:rsidP="00D1561F">
      <w:pPr>
        <w:pStyle w:val="FootnoteText"/>
        <w:rPr>
          <w:sz w:val="18"/>
          <w:szCs w:val="18"/>
          <w:highlight w:val="yellow"/>
        </w:rPr>
      </w:pPr>
      <w:r w:rsidRPr="00A9699A">
        <w:rPr>
          <w:rStyle w:val="FootnoteReference"/>
          <w:color w:val="44546A" w:themeColor="text2"/>
        </w:rPr>
        <w:footnoteRef/>
      </w:r>
      <w:r w:rsidR="006F6C5F" w:rsidRPr="00A9699A">
        <w:rPr>
          <w:color w:val="44546A" w:themeColor="text2"/>
          <w:sz w:val="18"/>
          <w:szCs w:val="18"/>
        </w:rPr>
        <w:t xml:space="preserve"> </w:t>
      </w:r>
      <w:r w:rsidRPr="00A06D7E">
        <w:rPr>
          <w:color w:val="44546A" w:themeColor="text2"/>
          <w:sz w:val="18"/>
          <w:szCs w:val="18"/>
        </w:rPr>
        <w:t>British Airways (202</w:t>
      </w:r>
      <w:r w:rsidR="00AB077E" w:rsidRPr="00DA35A0">
        <w:rPr>
          <w:color w:val="44546A" w:themeColor="text2"/>
          <w:sz w:val="18"/>
          <w:szCs w:val="18"/>
        </w:rPr>
        <w:t>4</w:t>
      </w:r>
      <w:r w:rsidRPr="00A06D7E">
        <w:rPr>
          <w:color w:val="44546A" w:themeColor="text2"/>
          <w:sz w:val="18"/>
          <w:szCs w:val="18"/>
        </w:rPr>
        <w:t xml:space="preserve">) </w:t>
      </w:r>
      <w:hyperlink r:id="rId13" w:history="1">
        <w:r w:rsidRPr="00A06D7E">
          <w:rPr>
            <w:rStyle w:val="Hyperlink"/>
            <w:sz w:val="18"/>
            <w:szCs w:val="18"/>
          </w:rPr>
          <w:t>https://ba.chooose.today/</w:t>
        </w:r>
      </w:hyperlink>
      <w:r w:rsidRPr="00A06D7E">
        <w:rPr>
          <w:sz w:val="18"/>
          <w:szCs w:val="18"/>
        </w:rPr>
        <w:t xml:space="preserve"> </w:t>
      </w:r>
    </w:p>
  </w:footnote>
  <w:footnote w:id="28">
    <w:p w14:paraId="3FC3F55B" w14:textId="51F81742" w:rsidR="00D1561F" w:rsidRPr="00DA35A0" w:rsidRDefault="00D1561F" w:rsidP="00D1561F">
      <w:pPr>
        <w:pStyle w:val="FootnoteText"/>
        <w:rPr>
          <w:sz w:val="18"/>
          <w:szCs w:val="18"/>
          <w:highlight w:val="yellow"/>
        </w:rPr>
      </w:pPr>
      <w:r w:rsidRPr="00A06D7E">
        <w:rPr>
          <w:rStyle w:val="FootnoteReference"/>
          <w:color w:val="44546A" w:themeColor="text2"/>
          <w:sz w:val="18"/>
          <w:szCs w:val="18"/>
        </w:rPr>
        <w:footnoteRef/>
      </w:r>
      <w:r w:rsidRPr="00A06D7E">
        <w:rPr>
          <w:color w:val="44546A" w:themeColor="text2"/>
          <w:sz w:val="18"/>
          <w:szCs w:val="18"/>
        </w:rPr>
        <w:t xml:space="preserve"> EasyJet via South Pole (202</w:t>
      </w:r>
      <w:r w:rsidR="00AB077E" w:rsidRPr="00DA35A0">
        <w:rPr>
          <w:color w:val="44546A" w:themeColor="text2"/>
          <w:sz w:val="18"/>
          <w:szCs w:val="18"/>
        </w:rPr>
        <w:t>4</w:t>
      </w:r>
      <w:r w:rsidRPr="00A06D7E">
        <w:rPr>
          <w:color w:val="44546A" w:themeColor="text2"/>
          <w:sz w:val="18"/>
          <w:szCs w:val="18"/>
        </w:rPr>
        <w:t xml:space="preserve">) </w:t>
      </w:r>
      <w:hyperlink r:id="rId14" w:history="1">
        <w:r w:rsidRPr="00A06D7E">
          <w:rPr>
            <w:rStyle w:val="Hyperlink"/>
            <w:sz w:val="18"/>
            <w:szCs w:val="18"/>
          </w:rPr>
          <w:t>https://easyjet.southpole.com/</w:t>
        </w:r>
      </w:hyperlink>
      <w:r w:rsidRPr="00A06D7E">
        <w:rPr>
          <w:sz w:val="18"/>
          <w:szCs w:val="18"/>
        </w:rPr>
        <w:t xml:space="preserve"> </w:t>
      </w:r>
    </w:p>
  </w:footnote>
  <w:footnote w:id="29">
    <w:p w14:paraId="5BA879ED" w14:textId="10E17B2B" w:rsidR="00D1561F" w:rsidRPr="00A06D7E" w:rsidRDefault="00D1561F" w:rsidP="00D1561F">
      <w:pPr>
        <w:pStyle w:val="FootnoteText"/>
        <w:rPr>
          <w:sz w:val="18"/>
          <w:szCs w:val="18"/>
          <w:lang w:val="fr-FR"/>
        </w:rPr>
      </w:pPr>
      <w:r w:rsidRPr="00A06D7E">
        <w:rPr>
          <w:rStyle w:val="FootnoteReference"/>
          <w:color w:val="44546A" w:themeColor="text2"/>
          <w:sz w:val="18"/>
          <w:szCs w:val="18"/>
        </w:rPr>
        <w:footnoteRef/>
      </w:r>
      <w:r w:rsidRPr="00A06D7E">
        <w:rPr>
          <w:color w:val="44546A" w:themeColor="text2"/>
          <w:sz w:val="18"/>
          <w:szCs w:val="18"/>
          <w:lang w:val="fr-FR"/>
        </w:rPr>
        <w:t xml:space="preserve"> Wizz Air (202</w:t>
      </w:r>
      <w:r w:rsidR="00A861C6" w:rsidRPr="00DA35A0">
        <w:rPr>
          <w:color w:val="44546A" w:themeColor="text2"/>
          <w:sz w:val="18"/>
          <w:szCs w:val="18"/>
          <w:lang w:val="fr-FR"/>
        </w:rPr>
        <w:t>4</w:t>
      </w:r>
      <w:r w:rsidRPr="00A06D7E">
        <w:rPr>
          <w:color w:val="44546A" w:themeColor="text2"/>
          <w:sz w:val="18"/>
          <w:szCs w:val="18"/>
          <w:lang w:val="fr-FR"/>
        </w:rPr>
        <w:t>)</w:t>
      </w:r>
      <w:r w:rsidRPr="00DA35A0">
        <w:rPr>
          <w:rStyle w:val="Hyperlink"/>
          <w:lang w:val="fr-FR"/>
        </w:rPr>
        <w:t xml:space="preserve"> </w:t>
      </w:r>
      <w:hyperlink r:id="rId15" w:history="1">
        <w:r w:rsidR="004C556C" w:rsidRPr="00DA35A0">
          <w:rPr>
            <w:rStyle w:val="Hyperlink"/>
            <w:sz w:val="18"/>
            <w:szCs w:val="18"/>
            <w:lang w:val="fr-FR"/>
          </w:rPr>
          <w:t>https://wizzair.chooose.today/</w:t>
        </w:r>
      </w:hyperlink>
    </w:p>
  </w:footnote>
  <w:footnote w:id="30">
    <w:p w14:paraId="695A5914" w14:textId="77777777" w:rsidR="00D1561F" w:rsidRPr="00395A39" w:rsidRDefault="00D1561F" w:rsidP="00D1561F">
      <w:pPr>
        <w:pStyle w:val="FootnoteText"/>
        <w:rPr>
          <w:lang w:val="fr-FR"/>
        </w:rPr>
      </w:pPr>
      <w:r w:rsidRPr="00A06D7E">
        <w:rPr>
          <w:rStyle w:val="FootnoteReference"/>
          <w:color w:val="44546A" w:themeColor="text2"/>
          <w:sz w:val="18"/>
          <w:szCs w:val="18"/>
        </w:rPr>
        <w:footnoteRef/>
      </w:r>
      <w:r w:rsidRPr="00A06D7E">
        <w:rPr>
          <w:color w:val="44546A" w:themeColor="text2"/>
          <w:sz w:val="18"/>
          <w:szCs w:val="18"/>
          <w:lang w:val="fr-FR"/>
        </w:rPr>
        <w:t xml:space="preserve"> </w:t>
      </w:r>
      <w:proofErr w:type="gramStart"/>
      <w:r w:rsidRPr="00A06D7E">
        <w:rPr>
          <w:color w:val="44546A" w:themeColor="text2"/>
          <w:sz w:val="18"/>
          <w:szCs w:val="18"/>
          <w:lang w:val="fr-FR"/>
        </w:rPr>
        <w:t>myclimate</w:t>
      </w:r>
      <w:proofErr w:type="gramEnd"/>
      <w:r w:rsidRPr="00A06D7E">
        <w:rPr>
          <w:color w:val="44546A" w:themeColor="text2"/>
          <w:sz w:val="18"/>
          <w:szCs w:val="18"/>
          <w:lang w:val="fr-FR"/>
        </w:rPr>
        <w:t xml:space="preserve"> (2024) </w:t>
      </w:r>
      <w:hyperlink r:id="rId16" w:history="1">
        <w:r w:rsidRPr="00A06D7E">
          <w:rPr>
            <w:rStyle w:val="Hyperlink"/>
            <w:sz w:val="18"/>
            <w:szCs w:val="18"/>
            <w:lang w:val="fr-FR"/>
          </w:rPr>
          <w:t>https://co2.myclimate.org/en/flight_calculators/new</w:t>
        </w:r>
      </w:hyperlink>
      <w:r w:rsidRPr="00395A39">
        <w:rPr>
          <w:sz w:val="18"/>
          <w:szCs w:val="18"/>
          <w:lang w:val="fr-FR"/>
        </w:rPr>
        <w:t xml:space="preserve"> </w:t>
      </w:r>
    </w:p>
  </w:footnote>
  <w:footnote w:id="31">
    <w:p w14:paraId="7463C6A1" w14:textId="2BC04897" w:rsidR="00EC5CCF" w:rsidRPr="00DA35A0" w:rsidRDefault="00EC5CCF">
      <w:pPr>
        <w:pStyle w:val="FootnoteText"/>
        <w:rPr>
          <w:rStyle w:val="Hyperlink"/>
        </w:rPr>
      </w:pPr>
      <w:r>
        <w:rPr>
          <w:rStyle w:val="FootnoteReference"/>
        </w:rPr>
        <w:footnoteRef/>
      </w:r>
      <w:r>
        <w:t xml:space="preserve"> </w:t>
      </w:r>
      <w:r w:rsidR="000D435F" w:rsidRPr="00DA35A0">
        <w:rPr>
          <w:color w:val="44546A" w:themeColor="text2"/>
          <w:sz w:val="18"/>
          <w:szCs w:val="18"/>
        </w:rPr>
        <w:t>Department for Transportation (2021)</w:t>
      </w:r>
      <w:r w:rsidR="00397D5E" w:rsidRPr="00DA35A0">
        <w:rPr>
          <w:color w:val="44546A" w:themeColor="text2"/>
          <w:sz w:val="18"/>
          <w:szCs w:val="18"/>
        </w:rPr>
        <w:t xml:space="preserve"> </w:t>
      </w:r>
      <w:hyperlink r:id="rId17" w:history="1">
        <w:r w:rsidR="00397D5E" w:rsidRPr="00DA35A0">
          <w:rPr>
            <w:rStyle w:val="Hyperlink"/>
            <w:sz w:val="18"/>
            <w:szCs w:val="18"/>
          </w:rPr>
          <w:t>https://committees.parliament.uk/publications/7590/documents/79606/default/</w:t>
        </w:r>
      </w:hyperlink>
    </w:p>
  </w:footnote>
  <w:footnote w:id="32">
    <w:p w14:paraId="23371323" w14:textId="15303AF2" w:rsidR="00D80731" w:rsidRPr="009F4A88" w:rsidRDefault="00D80731" w:rsidP="00D80731">
      <w:pPr>
        <w:pStyle w:val="FootnoteText"/>
      </w:pPr>
      <w:r w:rsidRPr="009F4A88">
        <w:rPr>
          <w:rStyle w:val="FootnoteReference"/>
          <w:sz w:val="18"/>
          <w:szCs w:val="18"/>
        </w:rPr>
        <w:footnoteRef/>
      </w:r>
      <w:r w:rsidRPr="009F4A88">
        <w:rPr>
          <w:sz w:val="18"/>
          <w:szCs w:val="18"/>
        </w:rPr>
        <w:t xml:space="preserve"> </w:t>
      </w:r>
      <w:r w:rsidRPr="00DA35A0">
        <w:rPr>
          <w:color w:val="44546A" w:themeColor="text2"/>
          <w:sz w:val="18"/>
          <w:szCs w:val="18"/>
        </w:rPr>
        <w:t>Transport For London (2023)</w:t>
      </w:r>
      <w:r w:rsidRPr="00452D5C">
        <w:rPr>
          <w:sz w:val="18"/>
          <w:szCs w:val="18"/>
        </w:rPr>
        <w:t xml:space="preserve"> </w:t>
      </w:r>
      <w:bookmarkStart w:id="22" w:name="_Hlk193193891"/>
      <w:r w:rsidR="003F451F" w:rsidRPr="00DA35A0">
        <w:rPr>
          <w:sz w:val="18"/>
          <w:szCs w:val="18"/>
        </w:rPr>
        <w:fldChar w:fldCharType="begin"/>
      </w:r>
      <w:r w:rsidR="003F451F" w:rsidRPr="00DA35A0">
        <w:rPr>
          <w:sz w:val="18"/>
          <w:szCs w:val="18"/>
        </w:rPr>
        <w:instrText>HYPERLINK "https://foi.tfl.gov.uk/FOI-3373-2324/FOI-3373.pdf"</w:instrText>
      </w:r>
      <w:r w:rsidR="003F451F" w:rsidRPr="00DA35A0">
        <w:rPr>
          <w:sz w:val="18"/>
          <w:szCs w:val="18"/>
        </w:rPr>
      </w:r>
      <w:r w:rsidR="003F451F" w:rsidRPr="00DA35A0">
        <w:rPr>
          <w:sz w:val="18"/>
          <w:szCs w:val="18"/>
        </w:rPr>
        <w:fldChar w:fldCharType="separate"/>
      </w:r>
      <w:r w:rsidR="003F451F" w:rsidRPr="00DA35A0">
        <w:rPr>
          <w:rStyle w:val="Hyperlink"/>
          <w:sz w:val="18"/>
          <w:szCs w:val="18"/>
        </w:rPr>
        <w:t>https://foi.tfl.gov.uk/FOI-3373-2324/FOI-3373.pdf</w:t>
      </w:r>
      <w:bookmarkEnd w:id="22"/>
      <w:r w:rsidR="003F451F" w:rsidRPr="00DA35A0">
        <w:rPr>
          <w:sz w:val="18"/>
          <w:szCs w:val="18"/>
        </w:rPr>
        <w:fldChar w:fldCharType="end"/>
      </w:r>
      <w:r w:rsidR="003F451F" w:rsidRPr="00DA35A0">
        <w:rPr>
          <w:sz w:val="18"/>
          <w:szCs w:val="18"/>
          <w:highlight w:val="yellow"/>
        </w:rPr>
        <w:t xml:space="preserve"> </w:t>
      </w:r>
    </w:p>
  </w:footnote>
  <w:footnote w:id="33">
    <w:p w14:paraId="5881B6CB" w14:textId="576E2FC5" w:rsidR="000551C7" w:rsidRPr="00DA35A0" w:rsidRDefault="000551C7" w:rsidP="000551C7">
      <w:pPr>
        <w:pStyle w:val="FootnoteText"/>
        <w:rPr>
          <w:rStyle w:val="Hyperlink"/>
          <w:sz w:val="18"/>
          <w:szCs w:val="18"/>
          <w:lang w:val="fr-FR"/>
        </w:rPr>
      </w:pPr>
      <w:r>
        <w:rPr>
          <w:rStyle w:val="FootnoteReference"/>
        </w:rPr>
        <w:footnoteRef/>
      </w:r>
      <w:r w:rsidRPr="00DA35A0">
        <w:rPr>
          <w:lang w:val="fr-FR"/>
        </w:rPr>
        <w:t xml:space="preserve"> </w:t>
      </w:r>
      <w:r w:rsidR="006B3525" w:rsidRPr="00DA35A0">
        <w:rPr>
          <w:color w:val="44546A" w:themeColor="text2"/>
          <w:sz w:val="18"/>
          <w:szCs w:val="18"/>
          <w:lang w:val="fr-FR"/>
        </w:rPr>
        <w:t>U.S. Environmental Protection Agency (2025)</w:t>
      </w:r>
      <w:r w:rsidR="006B3525" w:rsidRPr="00DA35A0">
        <w:rPr>
          <w:sz w:val="18"/>
          <w:szCs w:val="18"/>
          <w:lang w:val="fr-FR"/>
        </w:rPr>
        <w:t xml:space="preserve"> </w:t>
      </w:r>
      <w:hyperlink r:id="rId18" w:history="1">
        <w:r w:rsidR="006B3525" w:rsidRPr="00DA35A0">
          <w:rPr>
            <w:rStyle w:val="Hyperlink"/>
            <w:sz w:val="18"/>
            <w:szCs w:val="18"/>
            <w:lang w:val="fr-FR"/>
          </w:rPr>
          <w:t>https://www.epa.gov/system/files/documents/2025-01/ghg-emission-factors-hub-2025.pdf</w:t>
        </w:r>
      </w:hyperlink>
    </w:p>
  </w:footnote>
  <w:footnote w:id="34">
    <w:p w14:paraId="5CDE2DC5" w14:textId="6B8362AD" w:rsidR="004446A0" w:rsidRPr="00DA35A0" w:rsidRDefault="004446A0">
      <w:pPr>
        <w:pStyle w:val="FootnoteText"/>
        <w:rPr>
          <w:lang w:val="fr-FR"/>
        </w:rPr>
      </w:pPr>
      <w:r>
        <w:rPr>
          <w:rStyle w:val="FootnoteReference"/>
        </w:rPr>
        <w:footnoteRef/>
      </w:r>
      <w:r w:rsidRPr="00DA35A0">
        <w:rPr>
          <w:lang w:val="fr-FR"/>
        </w:rPr>
        <w:t xml:space="preserve"> </w:t>
      </w:r>
      <w:r w:rsidRPr="00DA35A0">
        <w:rPr>
          <w:color w:val="44546A" w:themeColor="text2"/>
          <w:sz w:val="18"/>
          <w:szCs w:val="18"/>
          <w:lang w:val="fr-FR"/>
        </w:rPr>
        <w:t>Davidson, Alistair, et al (2016)</w:t>
      </w:r>
      <w:r w:rsidRPr="00DA35A0">
        <w:rPr>
          <w:lang w:val="fr-FR"/>
        </w:rPr>
        <w:t xml:space="preserve"> </w:t>
      </w:r>
      <w:hyperlink r:id="rId19" w:history="1">
        <w:r w:rsidRPr="00DA35A0">
          <w:rPr>
            <w:rStyle w:val="Hyperlink"/>
            <w:sz w:val="18"/>
            <w:szCs w:val="18"/>
            <w:lang w:val="fr-FR"/>
          </w:rPr>
          <w:t>https://link.springer.com/article/10.1007/s11367-015-1021-5</w:t>
        </w:r>
      </w:hyperlink>
    </w:p>
  </w:footnote>
  <w:footnote w:id="35">
    <w:p w14:paraId="0AED34D7" w14:textId="09935554" w:rsidR="00CE3FF3" w:rsidRPr="00DA35A0" w:rsidRDefault="00CE3FF3">
      <w:pPr>
        <w:pStyle w:val="FootnoteText"/>
        <w:rPr>
          <w:rStyle w:val="Hyperlink"/>
          <w:sz w:val="18"/>
          <w:szCs w:val="18"/>
          <w:lang w:val="fr-FR"/>
        </w:rPr>
      </w:pPr>
      <w:r>
        <w:rPr>
          <w:rStyle w:val="FootnoteReference"/>
        </w:rPr>
        <w:footnoteRef/>
      </w:r>
      <w:r w:rsidRPr="00DA35A0">
        <w:rPr>
          <w:lang w:val="fr-FR"/>
        </w:rPr>
        <w:t xml:space="preserve"> </w:t>
      </w:r>
      <w:r w:rsidR="00826FD9" w:rsidRPr="00DA35A0">
        <w:rPr>
          <w:color w:val="44546A" w:themeColor="text2"/>
          <w:sz w:val="18"/>
          <w:szCs w:val="18"/>
          <w:lang w:val="fr-FR"/>
        </w:rPr>
        <w:t xml:space="preserve">U.S. Environmental Protection Agency (2023) </w:t>
      </w:r>
      <w:hyperlink r:id="rId20" w:history="1">
        <w:r w:rsidR="002D026D" w:rsidRPr="00DA35A0">
          <w:rPr>
            <w:rStyle w:val="Hyperlink"/>
            <w:sz w:val="18"/>
            <w:szCs w:val="18"/>
            <w:lang w:val="fr-FR"/>
          </w:rPr>
          <w:t>https://www.unep.org/explore-topics/chemicals-waste/what-we-do/emerging-issues/used-lead-acid-batteries-ulab-waste-lead</w:t>
        </w:r>
      </w:hyperlink>
    </w:p>
  </w:footnote>
  <w:footnote w:id="36">
    <w:p w14:paraId="3EF2FBD9" w14:textId="0D7FC3DA" w:rsidR="00110608" w:rsidRPr="00DA35A0" w:rsidRDefault="00110608">
      <w:pPr>
        <w:pStyle w:val="FootnoteText"/>
        <w:rPr>
          <w:rStyle w:val="Hyperlink"/>
          <w:sz w:val="18"/>
          <w:szCs w:val="18"/>
          <w:lang w:val="fr-FR"/>
        </w:rPr>
      </w:pPr>
      <w:r>
        <w:rPr>
          <w:rStyle w:val="FootnoteReference"/>
        </w:rPr>
        <w:footnoteRef/>
      </w:r>
      <w:r w:rsidRPr="00DA35A0">
        <w:rPr>
          <w:lang w:val="fr-FR"/>
        </w:rPr>
        <w:t xml:space="preserve"> </w:t>
      </w:r>
      <w:r w:rsidR="005F4D4E" w:rsidRPr="00DA35A0">
        <w:rPr>
          <w:color w:val="44546A" w:themeColor="text2"/>
          <w:sz w:val="18"/>
          <w:szCs w:val="18"/>
          <w:lang w:val="fr-FR"/>
        </w:rPr>
        <w:t>International Copper Association (2023)</w:t>
      </w:r>
      <w:r w:rsidR="003E1C82" w:rsidRPr="00DA35A0">
        <w:rPr>
          <w:lang w:val="fr-FR"/>
        </w:rPr>
        <w:t xml:space="preserve"> </w:t>
      </w:r>
      <w:hyperlink r:id="rId21" w:history="1">
        <w:r w:rsidR="003E1C82" w:rsidRPr="00DA35A0">
          <w:rPr>
            <w:rStyle w:val="Hyperlink"/>
            <w:sz w:val="18"/>
            <w:szCs w:val="18"/>
            <w:lang w:val="fr-FR"/>
          </w:rPr>
          <w:t>https://copperalliance.org/wp-content/uploads/2023/02/ICA-GlobalDecarbonization-202301-Final-singlepgs.pdf</w:t>
        </w:r>
      </w:hyperlink>
    </w:p>
  </w:footnote>
  <w:footnote w:id="37">
    <w:p w14:paraId="67748089" w14:textId="4D3856BA" w:rsidR="00662ABB" w:rsidRDefault="00662ABB">
      <w:pPr>
        <w:pStyle w:val="FootnoteText"/>
      </w:pPr>
      <w:r>
        <w:rPr>
          <w:rStyle w:val="FootnoteReference"/>
        </w:rPr>
        <w:footnoteRef/>
      </w:r>
      <w:r>
        <w:t xml:space="preserve"> </w:t>
      </w:r>
      <w:r w:rsidRPr="007B0AED">
        <w:rPr>
          <w:color w:val="44546A" w:themeColor="text2"/>
          <w:sz w:val="18"/>
          <w:szCs w:val="18"/>
        </w:rPr>
        <w:t>Greenhouse Gas Emission in Jewelry Industry: A Case Study of Silver Flat Ring (2016)</w:t>
      </w:r>
      <w:r>
        <w:br/>
      </w:r>
      <w:hyperlink r:id="rId22" w:history="1">
        <w:r w:rsidRPr="007B0AED">
          <w:rPr>
            <w:rStyle w:val="Hyperlink"/>
            <w:sz w:val="18"/>
            <w:szCs w:val="18"/>
          </w:rPr>
          <w:t>https://www.thaiscience.info/Journals/Article/APER/10979994.pdf?form=MG0AV3</w:t>
        </w:r>
      </w:hyperlink>
    </w:p>
  </w:footnote>
  <w:footnote w:id="38">
    <w:p w14:paraId="128382E0" w14:textId="2A995679" w:rsidR="00D56B0E" w:rsidRPr="00DA35A0" w:rsidRDefault="00D56B0E">
      <w:pPr>
        <w:pStyle w:val="FootnoteText"/>
        <w:rPr>
          <w:lang w:val="fr-FR"/>
        </w:rPr>
      </w:pPr>
      <w:r>
        <w:rPr>
          <w:rStyle w:val="FootnoteReference"/>
        </w:rPr>
        <w:footnoteRef/>
      </w:r>
      <w:r w:rsidRPr="00DA35A0">
        <w:rPr>
          <w:lang w:val="fr-FR"/>
        </w:rPr>
        <w:t xml:space="preserve"> </w:t>
      </w:r>
      <w:r w:rsidRPr="00DA35A0">
        <w:rPr>
          <w:color w:val="44546A" w:themeColor="text2"/>
          <w:sz w:val="18"/>
          <w:szCs w:val="18"/>
          <w:lang w:val="fr-FR"/>
        </w:rPr>
        <w:t>Davidson, Alistair, et al (2016)</w:t>
      </w:r>
    </w:p>
  </w:footnote>
  <w:footnote w:id="39">
    <w:p w14:paraId="0D467BD0" w14:textId="53112F02" w:rsidR="00E53054" w:rsidRPr="00DA35A0" w:rsidRDefault="00E53054">
      <w:pPr>
        <w:pStyle w:val="FootnoteText"/>
        <w:rPr>
          <w:lang w:val="fr-FR"/>
        </w:rPr>
      </w:pPr>
      <w:r>
        <w:rPr>
          <w:rStyle w:val="FootnoteReference"/>
        </w:rPr>
        <w:footnoteRef/>
      </w:r>
      <w:r w:rsidRPr="00DA35A0">
        <w:rPr>
          <w:lang w:val="fr-FR"/>
        </w:rPr>
        <w:t xml:space="preserve"> </w:t>
      </w:r>
      <w:r w:rsidRPr="00DA35A0">
        <w:rPr>
          <w:color w:val="44546A" w:themeColor="text2"/>
          <w:sz w:val="18"/>
          <w:szCs w:val="18"/>
          <w:lang w:val="fr-FR"/>
        </w:rPr>
        <w:t>U.S. Environmental Protection Agency (2023)</w:t>
      </w:r>
      <w:r w:rsidRPr="00DA35A0">
        <w:rPr>
          <w:lang w:val="fr-FR"/>
        </w:rPr>
        <w:t xml:space="preserve"> </w:t>
      </w:r>
      <w:hyperlink r:id="rId23" w:history="1">
        <w:r w:rsidRPr="00DA35A0">
          <w:rPr>
            <w:rStyle w:val="Hyperlink"/>
            <w:sz w:val="18"/>
            <w:szCs w:val="18"/>
            <w:lang w:val="fr-FR"/>
          </w:rPr>
          <w:t>https://nepis.epa.gov/Exe/tiff2png.cgi/94001BY2</w:t>
        </w:r>
      </w:hyperlink>
    </w:p>
  </w:footnote>
  <w:footnote w:id="40">
    <w:p w14:paraId="2BA72F7B" w14:textId="7CCFAFFF" w:rsidR="008F1EE6" w:rsidRPr="00DA35A0" w:rsidRDefault="008F1EE6">
      <w:pPr>
        <w:pStyle w:val="FootnoteText"/>
        <w:rPr>
          <w:lang w:val="fr-FR"/>
        </w:rPr>
      </w:pPr>
      <w:r>
        <w:rPr>
          <w:rStyle w:val="FootnoteReference"/>
        </w:rPr>
        <w:footnoteRef/>
      </w:r>
      <w:r w:rsidRPr="00DA35A0">
        <w:rPr>
          <w:lang w:val="fr-FR"/>
        </w:rPr>
        <w:t xml:space="preserve"> </w:t>
      </w:r>
      <w:r w:rsidRPr="00DA35A0">
        <w:rPr>
          <w:color w:val="44546A" w:themeColor="text2"/>
          <w:sz w:val="18"/>
          <w:szCs w:val="18"/>
          <w:lang w:val="fr-FR"/>
        </w:rPr>
        <w:t>International Copper Association (2023)</w:t>
      </w:r>
      <w:r w:rsidRPr="00DA35A0">
        <w:rPr>
          <w:lang w:val="fr-FR"/>
        </w:rPr>
        <w:t xml:space="preserve"> </w:t>
      </w:r>
      <w:hyperlink r:id="rId24" w:history="1">
        <w:r w:rsidRPr="00DA35A0">
          <w:rPr>
            <w:rStyle w:val="Hyperlink"/>
            <w:sz w:val="18"/>
            <w:szCs w:val="18"/>
            <w:lang w:val="fr-FR"/>
          </w:rPr>
          <w:t>https://copperalliance.org/wp-content/uploads/2023/02/ICA-GlobalDecarbonization-202301-Final-singlepgs.pdf</w:t>
        </w:r>
      </w:hyperlink>
    </w:p>
  </w:footnote>
  <w:footnote w:id="41">
    <w:p w14:paraId="371DB9E0" w14:textId="360A1F02" w:rsidR="00AC6FBE" w:rsidRPr="00DA35A0" w:rsidRDefault="00AC6FBE">
      <w:pPr>
        <w:pStyle w:val="FootnoteText"/>
        <w:rPr>
          <w:rStyle w:val="Hyperlink"/>
          <w:sz w:val="18"/>
          <w:szCs w:val="18"/>
        </w:rPr>
      </w:pPr>
      <w:r>
        <w:rPr>
          <w:rStyle w:val="FootnoteReference"/>
        </w:rPr>
        <w:footnoteRef/>
      </w:r>
      <w:r>
        <w:t xml:space="preserve"> </w:t>
      </w:r>
      <w:bookmarkStart w:id="28" w:name="_Hlk193194291"/>
      <w:bookmarkStart w:id="29" w:name="_Ref192855653"/>
      <w:r w:rsidR="00E41E4E" w:rsidRPr="00DA35A0">
        <w:rPr>
          <w:color w:val="44546A" w:themeColor="text2"/>
          <w:sz w:val="18"/>
          <w:szCs w:val="18"/>
        </w:rPr>
        <w:t>Greenhouse Gas Emission in Jewelry Industry: A Case Study of Silver Flat Ring (2016)</w:t>
      </w:r>
      <w:bookmarkEnd w:id="28"/>
      <w:r w:rsidR="00E41E4E">
        <w:br/>
      </w:r>
      <w:hyperlink r:id="rId25" w:history="1">
        <w:r w:rsidR="00E41E4E" w:rsidRPr="00DA35A0">
          <w:rPr>
            <w:rStyle w:val="Hyperlink"/>
            <w:sz w:val="18"/>
            <w:szCs w:val="18"/>
          </w:rPr>
          <w:t>https://www.thaiscience.info/Journals/Article/APER/10979994.pdf?form=MG0AV3</w:t>
        </w:r>
      </w:hyperlink>
      <w:bookmarkEnd w:id="29"/>
    </w:p>
  </w:footnote>
  <w:footnote w:id="42">
    <w:p w14:paraId="3BDDB43C" w14:textId="186DB903" w:rsidR="00BE27E4" w:rsidRDefault="00BE27E4">
      <w:pPr>
        <w:pStyle w:val="FootnoteText"/>
      </w:pPr>
      <w:r>
        <w:rPr>
          <w:rStyle w:val="FootnoteReference"/>
        </w:rPr>
        <w:footnoteRef/>
      </w:r>
      <w:r>
        <w:t xml:space="preserve"> </w:t>
      </w:r>
      <w:r w:rsidR="003E4CD0" w:rsidRPr="00DA35A0">
        <w:rPr>
          <w:color w:val="44546A" w:themeColor="text2"/>
          <w:sz w:val="18"/>
          <w:szCs w:val="18"/>
        </w:rPr>
        <w:t>Bureau of International Recycling (2008)</w:t>
      </w:r>
      <w:r w:rsidR="00130EBD">
        <w:t xml:space="preserve"> </w:t>
      </w:r>
      <w:hyperlink r:id="rId26" w:history="1">
        <w:r w:rsidR="00130EBD" w:rsidRPr="00DA35A0">
          <w:rPr>
            <w:rStyle w:val="Hyperlink"/>
            <w:sz w:val="18"/>
            <w:szCs w:val="18"/>
          </w:rPr>
          <w:t>https://www.mgg-recycling.com/wp-content/uploads/2013/06/BIR_CO2_report.pdf</w:t>
        </w:r>
      </w:hyperlink>
    </w:p>
  </w:footnote>
  <w:footnote w:id="43">
    <w:p w14:paraId="747EBC3A" w14:textId="142F6003" w:rsidR="00130EBD" w:rsidRDefault="00130EBD">
      <w:pPr>
        <w:pStyle w:val="FootnoteText"/>
      </w:pPr>
      <w:r>
        <w:rPr>
          <w:rStyle w:val="FootnoteReference"/>
        </w:rPr>
        <w:footnoteRef/>
      </w:r>
      <w:r>
        <w:t xml:space="preserve"> </w:t>
      </w:r>
      <w:r w:rsidR="001628AB" w:rsidRPr="00DA35A0">
        <w:rPr>
          <w:color w:val="44546A" w:themeColor="text2"/>
          <w:sz w:val="18"/>
          <w:szCs w:val="18"/>
        </w:rPr>
        <w:t>Nilsson, Anna, et al (2017)</w:t>
      </w:r>
      <w:r w:rsidR="0073799F" w:rsidRPr="00DA35A0">
        <w:rPr>
          <w:color w:val="44546A" w:themeColor="text2"/>
          <w:sz w:val="18"/>
          <w:szCs w:val="18"/>
        </w:rPr>
        <w:t xml:space="preserve"> </w:t>
      </w:r>
      <w:hyperlink r:id="rId27" w:history="1">
        <w:r w:rsidR="0073799F" w:rsidRPr="00DA35A0">
          <w:rPr>
            <w:rStyle w:val="Hyperlink"/>
            <w:sz w:val="18"/>
            <w:szCs w:val="18"/>
          </w:rPr>
          <w:t>https://www.researchgate.net/publication/319697995_A_Review_of_the_Carbon_Footprint_of_Cu_and_Zn_Production_from_Primary_and_Secondary_Sources</w:t>
        </w:r>
      </w:hyperlink>
    </w:p>
  </w:footnote>
  <w:footnote w:id="44">
    <w:p w14:paraId="698168E5" w14:textId="0E28998C" w:rsidR="000D0625" w:rsidRDefault="000D0625">
      <w:pPr>
        <w:pStyle w:val="FootnoteText"/>
      </w:pPr>
      <w:r>
        <w:rPr>
          <w:rStyle w:val="FootnoteReference"/>
        </w:rPr>
        <w:footnoteRef/>
      </w:r>
      <w:r>
        <w:t xml:space="preserve"> </w:t>
      </w:r>
      <w:r w:rsidRPr="007B0AED">
        <w:rPr>
          <w:color w:val="44546A" w:themeColor="text2"/>
          <w:sz w:val="18"/>
          <w:szCs w:val="18"/>
        </w:rPr>
        <w:t>Bureau of International Recycling (2008)</w:t>
      </w:r>
    </w:p>
  </w:footnote>
  <w:footnote w:id="45">
    <w:p w14:paraId="111A0818" w14:textId="32F895E5" w:rsidR="000D0625" w:rsidRDefault="000D0625">
      <w:pPr>
        <w:pStyle w:val="FootnoteText"/>
      </w:pPr>
      <w:r>
        <w:rPr>
          <w:rStyle w:val="FootnoteReference"/>
        </w:rPr>
        <w:footnoteRef/>
      </w:r>
      <w:r>
        <w:t xml:space="preserve"> </w:t>
      </w:r>
      <w:r w:rsidR="00444B4D" w:rsidRPr="00DA35A0">
        <w:rPr>
          <w:color w:val="44546A" w:themeColor="text2"/>
          <w:sz w:val="18"/>
          <w:szCs w:val="18"/>
        </w:rPr>
        <w:t>U.S. Environmental Protection Agency (1997)</w:t>
      </w:r>
      <w:r w:rsidR="00C325A4" w:rsidRPr="00DA35A0">
        <w:rPr>
          <w:color w:val="44546A" w:themeColor="text2"/>
          <w:sz w:val="18"/>
          <w:szCs w:val="18"/>
        </w:rPr>
        <w:t xml:space="preserve"> </w:t>
      </w:r>
      <w:hyperlink r:id="rId28" w:history="1">
        <w:r w:rsidR="00C325A4" w:rsidRPr="00DA35A0">
          <w:rPr>
            <w:rStyle w:val="Hyperlink"/>
            <w:sz w:val="18"/>
            <w:szCs w:val="18"/>
          </w:rPr>
          <w:t>https://www3.epa.gov/ttnchie1/ap42/ch12/final/c12s11_2010.pdf</w:t>
        </w:r>
      </w:hyperlink>
    </w:p>
  </w:footnote>
  <w:footnote w:id="46">
    <w:p w14:paraId="2BAC0923" w14:textId="04FE27B1" w:rsidR="002667CA" w:rsidRPr="00863925" w:rsidRDefault="002667CA">
      <w:pPr>
        <w:pStyle w:val="FootnoteText"/>
        <w:rPr>
          <w:rStyle w:val="Hyperlink"/>
          <w:sz w:val="18"/>
          <w:szCs w:val="18"/>
        </w:rPr>
      </w:pPr>
      <w:r>
        <w:rPr>
          <w:rStyle w:val="FootnoteReference"/>
        </w:rPr>
        <w:footnoteRef/>
      </w:r>
      <w:r>
        <w:t xml:space="preserve"> </w:t>
      </w:r>
      <w:r w:rsidRPr="00863925">
        <w:rPr>
          <w:color w:val="44546A" w:themeColor="text2"/>
          <w:sz w:val="18"/>
          <w:szCs w:val="18"/>
        </w:rPr>
        <w:t>International Copper Association (2023)</w:t>
      </w:r>
      <w:r>
        <w:rPr>
          <w:color w:val="44546A" w:themeColor="text2"/>
        </w:rPr>
        <w:t xml:space="preserve"> </w:t>
      </w:r>
      <w:hyperlink r:id="rId29" w:history="1">
        <w:r w:rsidRPr="00863925">
          <w:rPr>
            <w:rStyle w:val="Hyperlink"/>
            <w:sz w:val="18"/>
            <w:szCs w:val="18"/>
          </w:rPr>
          <w:t>https://copperalliance.org/wp-content/uploads/2023/02/ICA-GlobalDecarbonization-202301-Final-singlepgs.pdf</w:t>
        </w:r>
      </w:hyperlink>
    </w:p>
  </w:footnote>
  <w:footnote w:id="47">
    <w:p w14:paraId="0FD973A9" w14:textId="6CDB2909" w:rsidR="00981F51" w:rsidRDefault="00981F51">
      <w:pPr>
        <w:pStyle w:val="FootnoteText"/>
      </w:pPr>
      <w:r>
        <w:rPr>
          <w:rStyle w:val="FootnoteReference"/>
        </w:rPr>
        <w:footnoteRef/>
      </w:r>
      <w:r>
        <w:t xml:space="preserve"> </w:t>
      </w:r>
      <w:r w:rsidRPr="00DA35A0">
        <w:rPr>
          <w:color w:val="44546A" w:themeColor="text2"/>
          <w:sz w:val="18"/>
          <w:szCs w:val="18"/>
        </w:rPr>
        <w:t>Bureau of International Recycling (2008)</w:t>
      </w:r>
      <w:r>
        <w:t xml:space="preserve"> </w:t>
      </w:r>
      <w:hyperlink r:id="rId30" w:history="1">
        <w:r w:rsidRPr="00DA35A0">
          <w:rPr>
            <w:rStyle w:val="Hyperlink"/>
            <w:sz w:val="18"/>
            <w:szCs w:val="18"/>
          </w:rPr>
          <w:t>https://www.mgg-recycling.com/wp-content/uploads/2013/06/BIR_CO2_report.pdf</w:t>
        </w:r>
      </w:hyperlink>
    </w:p>
  </w:footnote>
  <w:footnote w:id="48">
    <w:p w14:paraId="41CF81CD" w14:textId="4C540778" w:rsidR="001C73A0" w:rsidRDefault="001C73A0">
      <w:pPr>
        <w:pStyle w:val="FootnoteText"/>
      </w:pPr>
      <w:r>
        <w:rPr>
          <w:rStyle w:val="FootnoteReference"/>
        </w:rPr>
        <w:footnoteRef/>
      </w:r>
      <w:r>
        <w:t xml:space="preserve"> </w:t>
      </w:r>
      <w:r w:rsidRPr="00863925">
        <w:rPr>
          <w:color w:val="44546A" w:themeColor="text2"/>
          <w:sz w:val="18"/>
          <w:szCs w:val="18"/>
        </w:rPr>
        <w:t>U</w:t>
      </w:r>
      <w:r w:rsidRPr="00DA35A0">
        <w:rPr>
          <w:color w:val="44546A" w:themeColor="text2"/>
          <w:sz w:val="18"/>
          <w:szCs w:val="18"/>
        </w:rPr>
        <w:t xml:space="preserve">.S. Environmental Protection Agency (1997) </w:t>
      </w:r>
      <w:hyperlink r:id="rId31" w:history="1">
        <w:r w:rsidRPr="00DA35A0">
          <w:rPr>
            <w:rStyle w:val="Hyperlink"/>
            <w:sz w:val="18"/>
            <w:szCs w:val="18"/>
          </w:rPr>
          <w:t>https://www3.epa.gov/ttnchie1/ap42/ch12/final/c12s11_2010.pdf</w:t>
        </w:r>
      </w:hyperlink>
    </w:p>
  </w:footnote>
  <w:footnote w:id="49">
    <w:p w14:paraId="29A1B6B2" w14:textId="42ADB37C" w:rsidR="00C46B53" w:rsidRPr="00DA35A0" w:rsidRDefault="00C46B53">
      <w:pPr>
        <w:pStyle w:val="FootnoteText"/>
        <w:rPr>
          <w:rFonts w:eastAsia="Times New Roman" w:cs="Times New Roman"/>
          <w:color w:val="44546A" w:themeColor="text2"/>
          <w:kern w:val="0"/>
          <w:lang w:eastAsia="en-GB"/>
          <w14:ligatures w14:val="none"/>
        </w:rPr>
      </w:pPr>
      <w:r>
        <w:rPr>
          <w:rStyle w:val="FootnoteReference"/>
        </w:rPr>
        <w:footnoteRef/>
      </w:r>
      <w:r>
        <w:t xml:space="preserve"> </w:t>
      </w:r>
      <w:r w:rsidRPr="00DA35A0">
        <w:rPr>
          <w:rFonts w:eastAsia="Times New Roman" w:cs="Times New Roman"/>
          <w:color w:val="44546A" w:themeColor="text2"/>
          <w:kern w:val="0"/>
          <w:lang w:eastAsia="en-GB"/>
          <w14:ligatures w14:val="none"/>
        </w:rPr>
        <w:t xml:space="preserve">Please note, that </w:t>
      </w:r>
      <w:r w:rsidR="00A9585C" w:rsidRPr="00DA35A0">
        <w:rPr>
          <w:rFonts w:eastAsia="Times New Roman" w:cs="Times New Roman"/>
          <w:color w:val="44546A" w:themeColor="text2"/>
          <w:kern w:val="0"/>
          <w:lang w:eastAsia="en-GB"/>
          <w14:ligatures w14:val="none"/>
        </w:rPr>
        <w:t xml:space="preserve">the values show the </w:t>
      </w:r>
      <w:r w:rsidR="001C4C5C" w:rsidRPr="00DA35A0">
        <w:rPr>
          <w:rFonts w:eastAsia="Times New Roman" w:cs="Times New Roman"/>
          <w:color w:val="44546A" w:themeColor="text2"/>
          <w:kern w:val="0"/>
          <w:lang w:eastAsia="en-GB"/>
          <w14:ligatures w14:val="none"/>
        </w:rPr>
        <w:t>purchased electricity from the grid.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0EF1" w14:textId="6855AEBF" w:rsidR="004B76B9" w:rsidRDefault="00767B92" w:rsidP="004B76B9">
    <w:pPr>
      <w:pStyle w:val="Header"/>
      <w:jc w:val="right"/>
    </w:pPr>
    <w:r>
      <w:rPr>
        <w:noProof/>
      </w:rPr>
      <w:drawing>
        <wp:anchor distT="0" distB="0" distL="114300" distR="114300" simplePos="0" relativeHeight="251658241" behindDoc="1" locked="0" layoutInCell="1" allowOverlap="1" wp14:anchorId="3A1DBA2A" wp14:editId="126DD5BA">
          <wp:simplePos x="0" y="0"/>
          <wp:positionH relativeFrom="margin">
            <wp:posOffset>4556760</wp:posOffset>
          </wp:positionH>
          <wp:positionV relativeFrom="paragraph">
            <wp:posOffset>-286385</wp:posOffset>
          </wp:positionV>
          <wp:extent cx="1634697" cy="600075"/>
          <wp:effectExtent l="0" t="0" r="3810" b="0"/>
          <wp:wrapTight wrapText="bothSides">
            <wp:wrapPolygon edited="0">
              <wp:start x="0" y="0"/>
              <wp:lineTo x="0" y="20571"/>
              <wp:lineTo x="21399" y="20571"/>
              <wp:lineTo x="21399" y="0"/>
              <wp:lineTo x="0" y="0"/>
            </wp:wrapPolygon>
          </wp:wrapTight>
          <wp:docPr id="1441500081" name="Picture 1" descr="A logo with a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32401" name="Picture 1" descr="A logo with a letter 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697"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8EFB" w14:textId="77777777" w:rsidR="00886815" w:rsidRDefault="00886815" w:rsidP="004B76B9">
    <w:pPr>
      <w:pStyle w:val="Header"/>
      <w:jc w:val="right"/>
    </w:pPr>
    <w:r>
      <w:rPr>
        <w:noProof/>
      </w:rPr>
      <w:drawing>
        <wp:anchor distT="0" distB="0" distL="114300" distR="114300" simplePos="0" relativeHeight="251658240" behindDoc="1" locked="0" layoutInCell="1" allowOverlap="1" wp14:anchorId="273F127F" wp14:editId="53E3565C">
          <wp:simplePos x="0" y="0"/>
          <wp:positionH relativeFrom="margin">
            <wp:posOffset>4523740</wp:posOffset>
          </wp:positionH>
          <wp:positionV relativeFrom="paragraph">
            <wp:posOffset>-288290</wp:posOffset>
          </wp:positionV>
          <wp:extent cx="1634697" cy="600075"/>
          <wp:effectExtent l="0" t="0" r="3810" b="0"/>
          <wp:wrapTight wrapText="bothSides">
            <wp:wrapPolygon edited="0">
              <wp:start x="0" y="0"/>
              <wp:lineTo x="0" y="20571"/>
              <wp:lineTo x="21399" y="20571"/>
              <wp:lineTo x="21399" y="0"/>
              <wp:lineTo x="0" y="0"/>
            </wp:wrapPolygon>
          </wp:wrapTight>
          <wp:docPr id="645974808" name="Picture 1" descr="A logo with a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32401" name="Picture 1" descr="A logo with a letter 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697"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55B7" w14:textId="77777777" w:rsidR="00D41C58" w:rsidRDefault="00D41C58" w:rsidP="004B76B9">
    <w:pPr>
      <w:pStyle w:val="Header"/>
      <w:jc w:val="right"/>
    </w:pPr>
    <w:r>
      <w:rPr>
        <w:noProof/>
      </w:rPr>
      <w:drawing>
        <wp:anchor distT="0" distB="0" distL="114300" distR="114300" simplePos="0" relativeHeight="251658242" behindDoc="1" locked="0" layoutInCell="1" allowOverlap="1" wp14:anchorId="45652825" wp14:editId="4406E217">
          <wp:simplePos x="0" y="0"/>
          <wp:positionH relativeFrom="margin">
            <wp:posOffset>7805980</wp:posOffset>
          </wp:positionH>
          <wp:positionV relativeFrom="paragraph">
            <wp:posOffset>-206299</wp:posOffset>
          </wp:positionV>
          <wp:extent cx="1634697" cy="600075"/>
          <wp:effectExtent l="0" t="0" r="3810" b="0"/>
          <wp:wrapTight wrapText="bothSides">
            <wp:wrapPolygon edited="0">
              <wp:start x="0" y="0"/>
              <wp:lineTo x="0" y="20571"/>
              <wp:lineTo x="21399" y="20571"/>
              <wp:lineTo x="21399" y="0"/>
              <wp:lineTo x="0" y="0"/>
            </wp:wrapPolygon>
          </wp:wrapTight>
          <wp:docPr id="1994297688" name="Picture 1" descr="A logo with a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32401" name="Picture 1" descr="A logo with a letter 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697"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4FCD" w14:textId="77777777" w:rsidR="00D41C58" w:rsidRDefault="00D41C58" w:rsidP="004B76B9">
    <w:pPr>
      <w:pStyle w:val="Header"/>
      <w:jc w:val="right"/>
    </w:pPr>
    <w:r>
      <w:rPr>
        <w:noProof/>
      </w:rPr>
      <w:drawing>
        <wp:anchor distT="0" distB="0" distL="114300" distR="114300" simplePos="0" relativeHeight="251658243" behindDoc="1" locked="0" layoutInCell="1" allowOverlap="1" wp14:anchorId="277940F8" wp14:editId="54ADA666">
          <wp:simplePos x="0" y="0"/>
          <wp:positionH relativeFrom="margin">
            <wp:posOffset>4567537</wp:posOffset>
          </wp:positionH>
          <wp:positionV relativeFrom="paragraph">
            <wp:posOffset>-206299</wp:posOffset>
          </wp:positionV>
          <wp:extent cx="1634697" cy="600075"/>
          <wp:effectExtent l="0" t="0" r="3810" b="0"/>
          <wp:wrapTight wrapText="bothSides">
            <wp:wrapPolygon edited="0">
              <wp:start x="0" y="0"/>
              <wp:lineTo x="0" y="20571"/>
              <wp:lineTo x="21399" y="20571"/>
              <wp:lineTo x="21399" y="0"/>
              <wp:lineTo x="0" y="0"/>
            </wp:wrapPolygon>
          </wp:wrapTight>
          <wp:docPr id="1066406995" name="Picture 1" descr="A logo with a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32401" name="Picture 1" descr="A logo with a letter 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697"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2FE9"/>
    <w:multiLevelType w:val="hybridMultilevel"/>
    <w:tmpl w:val="685AC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3907AD"/>
    <w:multiLevelType w:val="hybridMultilevel"/>
    <w:tmpl w:val="7014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86DAA"/>
    <w:multiLevelType w:val="hybridMultilevel"/>
    <w:tmpl w:val="EA0C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C3D09"/>
    <w:multiLevelType w:val="hybridMultilevel"/>
    <w:tmpl w:val="B3FEA9CC"/>
    <w:lvl w:ilvl="0" w:tplc="A03EE772">
      <w:start w:val="27"/>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8A20CB"/>
    <w:multiLevelType w:val="hybridMultilevel"/>
    <w:tmpl w:val="6AAE0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A65C2"/>
    <w:multiLevelType w:val="hybridMultilevel"/>
    <w:tmpl w:val="D6C60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62D3A"/>
    <w:multiLevelType w:val="hybridMultilevel"/>
    <w:tmpl w:val="9EA0CA2A"/>
    <w:lvl w:ilvl="0" w:tplc="1009000F">
      <w:start w:val="1"/>
      <w:numFmt w:val="decimal"/>
      <w:lvlText w:val="%1."/>
      <w:lvlJc w:val="left"/>
      <w:pPr>
        <w:ind w:left="644"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03A1563"/>
    <w:multiLevelType w:val="hybridMultilevel"/>
    <w:tmpl w:val="2F14979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11D02"/>
    <w:multiLevelType w:val="hybridMultilevel"/>
    <w:tmpl w:val="10BA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03C69"/>
    <w:multiLevelType w:val="hybridMultilevel"/>
    <w:tmpl w:val="760AFC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BB174B"/>
    <w:multiLevelType w:val="hybridMultilevel"/>
    <w:tmpl w:val="A48C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76E8F"/>
    <w:multiLevelType w:val="multilevel"/>
    <w:tmpl w:val="E4CE6A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951776"/>
    <w:multiLevelType w:val="hybridMultilevel"/>
    <w:tmpl w:val="A4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A3549F"/>
    <w:multiLevelType w:val="hybridMultilevel"/>
    <w:tmpl w:val="2610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07544"/>
    <w:multiLevelType w:val="hybridMultilevel"/>
    <w:tmpl w:val="FFFFFFFF"/>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7212B4F"/>
    <w:multiLevelType w:val="hybridMultilevel"/>
    <w:tmpl w:val="FCB8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954110">
    <w:abstractNumId w:val="5"/>
  </w:num>
  <w:num w:numId="2" w16cid:durableId="782068710">
    <w:abstractNumId w:val="7"/>
  </w:num>
  <w:num w:numId="3" w16cid:durableId="1848211482">
    <w:abstractNumId w:val="12"/>
  </w:num>
  <w:num w:numId="4" w16cid:durableId="1392386786">
    <w:abstractNumId w:val="9"/>
  </w:num>
  <w:num w:numId="5" w16cid:durableId="1580019802">
    <w:abstractNumId w:val="11"/>
  </w:num>
  <w:num w:numId="6" w16cid:durableId="1555922804">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0923" w:hanging="432"/>
        </w:pPr>
        <w:rPr>
          <w:rFonts w:hint="default"/>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24725706">
    <w:abstractNumId w:val="6"/>
  </w:num>
  <w:num w:numId="8" w16cid:durableId="1767388199">
    <w:abstractNumId w:val="15"/>
  </w:num>
  <w:num w:numId="9" w16cid:durableId="1817212492">
    <w:abstractNumId w:val="4"/>
  </w:num>
  <w:num w:numId="10" w16cid:durableId="1216741709">
    <w:abstractNumId w:val="1"/>
  </w:num>
  <w:num w:numId="11" w16cid:durableId="1036396176">
    <w:abstractNumId w:val="2"/>
  </w:num>
  <w:num w:numId="12" w16cid:durableId="929310929">
    <w:abstractNumId w:val="8"/>
  </w:num>
  <w:num w:numId="13" w16cid:durableId="1308902517">
    <w:abstractNumId w:val="0"/>
  </w:num>
  <w:num w:numId="14" w16cid:durableId="2093893050">
    <w:abstractNumId w:val="14"/>
  </w:num>
  <w:num w:numId="15" w16cid:durableId="1277181482">
    <w:abstractNumId w:val="3"/>
  </w:num>
  <w:num w:numId="16" w16cid:durableId="2060325633">
    <w:abstractNumId w:val="10"/>
  </w:num>
  <w:num w:numId="17" w16cid:durableId="926576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2A"/>
    <w:rsid w:val="00001958"/>
    <w:rsid w:val="0000209E"/>
    <w:rsid w:val="0000286C"/>
    <w:rsid w:val="00002EC6"/>
    <w:rsid w:val="00003329"/>
    <w:rsid w:val="0000359D"/>
    <w:rsid w:val="00003987"/>
    <w:rsid w:val="00006DA5"/>
    <w:rsid w:val="0001116A"/>
    <w:rsid w:val="000125CE"/>
    <w:rsid w:val="000130F4"/>
    <w:rsid w:val="000141D2"/>
    <w:rsid w:val="00014CAE"/>
    <w:rsid w:val="00017A9E"/>
    <w:rsid w:val="00017EB8"/>
    <w:rsid w:val="000207FA"/>
    <w:rsid w:val="00020F86"/>
    <w:rsid w:val="00021D30"/>
    <w:rsid w:val="00023780"/>
    <w:rsid w:val="00023BC8"/>
    <w:rsid w:val="00025FFB"/>
    <w:rsid w:val="00026993"/>
    <w:rsid w:val="000303BE"/>
    <w:rsid w:val="00030FFF"/>
    <w:rsid w:val="00031C5A"/>
    <w:rsid w:val="00032265"/>
    <w:rsid w:val="00032AC3"/>
    <w:rsid w:val="00032CA4"/>
    <w:rsid w:val="00033846"/>
    <w:rsid w:val="000348FC"/>
    <w:rsid w:val="000362A0"/>
    <w:rsid w:val="0003708C"/>
    <w:rsid w:val="0003741D"/>
    <w:rsid w:val="000374F9"/>
    <w:rsid w:val="00041101"/>
    <w:rsid w:val="00041F09"/>
    <w:rsid w:val="000428EA"/>
    <w:rsid w:val="0004293A"/>
    <w:rsid w:val="00045051"/>
    <w:rsid w:val="0004520E"/>
    <w:rsid w:val="000457FE"/>
    <w:rsid w:val="000458FA"/>
    <w:rsid w:val="00046308"/>
    <w:rsid w:val="0004675C"/>
    <w:rsid w:val="0005180B"/>
    <w:rsid w:val="000533C6"/>
    <w:rsid w:val="00054454"/>
    <w:rsid w:val="000551B7"/>
    <w:rsid w:val="000551C7"/>
    <w:rsid w:val="000553A3"/>
    <w:rsid w:val="00055918"/>
    <w:rsid w:val="00057496"/>
    <w:rsid w:val="00057916"/>
    <w:rsid w:val="00060736"/>
    <w:rsid w:val="0006133C"/>
    <w:rsid w:val="0006134C"/>
    <w:rsid w:val="00062D87"/>
    <w:rsid w:val="0006403A"/>
    <w:rsid w:val="00064F47"/>
    <w:rsid w:val="00065775"/>
    <w:rsid w:val="000705EC"/>
    <w:rsid w:val="000707FD"/>
    <w:rsid w:val="00072180"/>
    <w:rsid w:val="000753C8"/>
    <w:rsid w:val="0007726E"/>
    <w:rsid w:val="0008056F"/>
    <w:rsid w:val="000807A4"/>
    <w:rsid w:val="000816B0"/>
    <w:rsid w:val="00092207"/>
    <w:rsid w:val="00092984"/>
    <w:rsid w:val="000937F4"/>
    <w:rsid w:val="0009572B"/>
    <w:rsid w:val="00096250"/>
    <w:rsid w:val="00097035"/>
    <w:rsid w:val="0009704C"/>
    <w:rsid w:val="000975B8"/>
    <w:rsid w:val="0009797B"/>
    <w:rsid w:val="00097FF2"/>
    <w:rsid w:val="000A27B1"/>
    <w:rsid w:val="000A376D"/>
    <w:rsid w:val="000A4740"/>
    <w:rsid w:val="000A5622"/>
    <w:rsid w:val="000A6142"/>
    <w:rsid w:val="000B07F3"/>
    <w:rsid w:val="000B26A7"/>
    <w:rsid w:val="000B369D"/>
    <w:rsid w:val="000B3DE2"/>
    <w:rsid w:val="000B3EE4"/>
    <w:rsid w:val="000B4104"/>
    <w:rsid w:val="000B4F81"/>
    <w:rsid w:val="000B542B"/>
    <w:rsid w:val="000B5938"/>
    <w:rsid w:val="000B5DC2"/>
    <w:rsid w:val="000B6C1A"/>
    <w:rsid w:val="000B6CD1"/>
    <w:rsid w:val="000B7810"/>
    <w:rsid w:val="000C012A"/>
    <w:rsid w:val="000C0371"/>
    <w:rsid w:val="000C0924"/>
    <w:rsid w:val="000C1A53"/>
    <w:rsid w:val="000C1A63"/>
    <w:rsid w:val="000C38F7"/>
    <w:rsid w:val="000D027C"/>
    <w:rsid w:val="000D046F"/>
    <w:rsid w:val="000D0625"/>
    <w:rsid w:val="000D08DE"/>
    <w:rsid w:val="000D0948"/>
    <w:rsid w:val="000D0A29"/>
    <w:rsid w:val="000D277D"/>
    <w:rsid w:val="000D3BB1"/>
    <w:rsid w:val="000D435F"/>
    <w:rsid w:val="000D5147"/>
    <w:rsid w:val="000D67F3"/>
    <w:rsid w:val="000D6B60"/>
    <w:rsid w:val="000D721E"/>
    <w:rsid w:val="000E167B"/>
    <w:rsid w:val="000E1959"/>
    <w:rsid w:val="000E42E1"/>
    <w:rsid w:val="000E49EB"/>
    <w:rsid w:val="000E4BBC"/>
    <w:rsid w:val="000E5025"/>
    <w:rsid w:val="000F4BF0"/>
    <w:rsid w:val="000F4E1C"/>
    <w:rsid w:val="000F51B9"/>
    <w:rsid w:val="000F5311"/>
    <w:rsid w:val="000F6B7C"/>
    <w:rsid w:val="001002FA"/>
    <w:rsid w:val="0010041C"/>
    <w:rsid w:val="00100F9E"/>
    <w:rsid w:val="001011F4"/>
    <w:rsid w:val="00102F5D"/>
    <w:rsid w:val="00104C3D"/>
    <w:rsid w:val="00105042"/>
    <w:rsid w:val="001070C6"/>
    <w:rsid w:val="00107466"/>
    <w:rsid w:val="00107C57"/>
    <w:rsid w:val="00110608"/>
    <w:rsid w:val="001108B1"/>
    <w:rsid w:val="00114524"/>
    <w:rsid w:val="00116471"/>
    <w:rsid w:val="0011667F"/>
    <w:rsid w:val="00122E52"/>
    <w:rsid w:val="00123734"/>
    <w:rsid w:val="00124303"/>
    <w:rsid w:val="00125A01"/>
    <w:rsid w:val="0012663D"/>
    <w:rsid w:val="001276F9"/>
    <w:rsid w:val="001279CC"/>
    <w:rsid w:val="00130EBD"/>
    <w:rsid w:val="00131D8D"/>
    <w:rsid w:val="00133A20"/>
    <w:rsid w:val="00133EFD"/>
    <w:rsid w:val="00135DED"/>
    <w:rsid w:val="001402CB"/>
    <w:rsid w:val="0014138E"/>
    <w:rsid w:val="00142995"/>
    <w:rsid w:val="001441AA"/>
    <w:rsid w:val="001446B6"/>
    <w:rsid w:val="00144861"/>
    <w:rsid w:val="00145610"/>
    <w:rsid w:val="0015049B"/>
    <w:rsid w:val="0015061A"/>
    <w:rsid w:val="00151960"/>
    <w:rsid w:val="00151C43"/>
    <w:rsid w:val="001533D7"/>
    <w:rsid w:val="00156383"/>
    <w:rsid w:val="001564AD"/>
    <w:rsid w:val="001568FD"/>
    <w:rsid w:val="00157CB7"/>
    <w:rsid w:val="0016066B"/>
    <w:rsid w:val="001609C0"/>
    <w:rsid w:val="00161333"/>
    <w:rsid w:val="001628AB"/>
    <w:rsid w:val="0016298F"/>
    <w:rsid w:val="001637D7"/>
    <w:rsid w:val="00163D18"/>
    <w:rsid w:val="0016454D"/>
    <w:rsid w:val="00167671"/>
    <w:rsid w:val="00171382"/>
    <w:rsid w:val="0017241C"/>
    <w:rsid w:val="00172920"/>
    <w:rsid w:val="00175C1C"/>
    <w:rsid w:val="00175D54"/>
    <w:rsid w:val="00175F34"/>
    <w:rsid w:val="00176B21"/>
    <w:rsid w:val="00176EC7"/>
    <w:rsid w:val="001771D5"/>
    <w:rsid w:val="0018147C"/>
    <w:rsid w:val="001832BB"/>
    <w:rsid w:val="00183CC8"/>
    <w:rsid w:val="0018582E"/>
    <w:rsid w:val="001870C4"/>
    <w:rsid w:val="00190EDD"/>
    <w:rsid w:val="00192E02"/>
    <w:rsid w:val="00195DBD"/>
    <w:rsid w:val="00195F8E"/>
    <w:rsid w:val="00196598"/>
    <w:rsid w:val="001A1ECE"/>
    <w:rsid w:val="001A3FBC"/>
    <w:rsid w:val="001A48C0"/>
    <w:rsid w:val="001A4C81"/>
    <w:rsid w:val="001A5445"/>
    <w:rsid w:val="001A5AF6"/>
    <w:rsid w:val="001A5E34"/>
    <w:rsid w:val="001A7197"/>
    <w:rsid w:val="001B01EB"/>
    <w:rsid w:val="001B2776"/>
    <w:rsid w:val="001B2882"/>
    <w:rsid w:val="001B2FED"/>
    <w:rsid w:val="001B4FBB"/>
    <w:rsid w:val="001B552A"/>
    <w:rsid w:val="001B6991"/>
    <w:rsid w:val="001B6B8D"/>
    <w:rsid w:val="001B7406"/>
    <w:rsid w:val="001C0544"/>
    <w:rsid w:val="001C1170"/>
    <w:rsid w:val="001C1F73"/>
    <w:rsid w:val="001C4C5C"/>
    <w:rsid w:val="001C5E79"/>
    <w:rsid w:val="001C61C1"/>
    <w:rsid w:val="001C6216"/>
    <w:rsid w:val="001C6B82"/>
    <w:rsid w:val="001C73A0"/>
    <w:rsid w:val="001D0DF6"/>
    <w:rsid w:val="001D3790"/>
    <w:rsid w:val="001D409F"/>
    <w:rsid w:val="001D43B3"/>
    <w:rsid w:val="001D49C5"/>
    <w:rsid w:val="001E035B"/>
    <w:rsid w:val="001E3579"/>
    <w:rsid w:val="001E3E63"/>
    <w:rsid w:val="001E48FF"/>
    <w:rsid w:val="001E543D"/>
    <w:rsid w:val="001E7F6B"/>
    <w:rsid w:val="001F007C"/>
    <w:rsid w:val="001F1484"/>
    <w:rsid w:val="001F5F65"/>
    <w:rsid w:val="00201EB4"/>
    <w:rsid w:val="0020236D"/>
    <w:rsid w:val="00202F3D"/>
    <w:rsid w:val="00203133"/>
    <w:rsid w:val="002036EC"/>
    <w:rsid w:val="00203E04"/>
    <w:rsid w:val="00204E57"/>
    <w:rsid w:val="00205E5B"/>
    <w:rsid w:val="00205FED"/>
    <w:rsid w:val="00206495"/>
    <w:rsid w:val="00206844"/>
    <w:rsid w:val="00206B16"/>
    <w:rsid w:val="00206DE2"/>
    <w:rsid w:val="0020798B"/>
    <w:rsid w:val="00210D50"/>
    <w:rsid w:val="00213C33"/>
    <w:rsid w:val="00214492"/>
    <w:rsid w:val="0021468F"/>
    <w:rsid w:val="002152C0"/>
    <w:rsid w:val="002168EB"/>
    <w:rsid w:val="00216D00"/>
    <w:rsid w:val="00216DB9"/>
    <w:rsid w:val="0021782F"/>
    <w:rsid w:val="00220D19"/>
    <w:rsid w:val="00221088"/>
    <w:rsid w:val="00221274"/>
    <w:rsid w:val="00221C31"/>
    <w:rsid w:val="00222B1C"/>
    <w:rsid w:val="00225F72"/>
    <w:rsid w:val="00226C45"/>
    <w:rsid w:val="00232698"/>
    <w:rsid w:val="00232823"/>
    <w:rsid w:val="00232B42"/>
    <w:rsid w:val="0023599E"/>
    <w:rsid w:val="00235A1D"/>
    <w:rsid w:val="00236976"/>
    <w:rsid w:val="00237111"/>
    <w:rsid w:val="00243CE1"/>
    <w:rsid w:val="002466C2"/>
    <w:rsid w:val="00251D48"/>
    <w:rsid w:val="00256DD1"/>
    <w:rsid w:val="0026010B"/>
    <w:rsid w:val="00260932"/>
    <w:rsid w:val="00261516"/>
    <w:rsid w:val="00262B06"/>
    <w:rsid w:val="00263D11"/>
    <w:rsid w:val="0026424A"/>
    <w:rsid w:val="00264271"/>
    <w:rsid w:val="002655D1"/>
    <w:rsid w:val="00266107"/>
    <w:rsid w:val="002667CA"/>
    <w:rsid w:val="002700F3"/>
    <w:rsid w:val="00271DB9"/>
    <w:rsid w:val="00274A99"/>
    <w:rsid w:val="00276BD7"/>
    <w:rsid w:val="00282699"/>
    <w:rsid w:val="00283B99"/>
    <w:rsid w:val="00285429"/>
    <w:rsid w:val="00286373"/>
    <w:rsid w:val="00286EF9"/>
    <w:rsid w:val="00292031"/>
    <w:rsid w:val="00292633"/>
    <w:rsid w:val="00294557"/>
    <w:rsid w:val="0029519F"/>
    <w:rsid w:val="0029735B"/>
    <w:rsid w:val="002A09C6"/>
    <w:rsid w:val="002A117B"/>
    <w:rsid w:val="002A1410"/>
    <w:rsid w:val="002A1CC2"/>
    <w:rsid w:val="002A35AD"/>
    <w:rsid w:val="002A37BC"/>
    <w:rsid w:val="002A3C3F"/>
    <w:rsid w:val="002A455E"/>
    <w:rsid w:val="002A5188"/>
    <w:rsid w:val="002A525C"/>
    <w:rsid w:val="002A5301"/>
    <w:rsid w:val="002A6CF9"/>
    <w:rsid w:val="002B0CC9"/>
    <w:rsid w:val="002B19EC"/>
    <w:rsid w:val="002B20EB"/>
    <w:rsid w:val="002B5F2C"/>
    <w:rsid w:val="002B7572"/>
    <w:rsid w:val="002B7E4B"/>
    <w:rsid w:val="002C0EAA"/>
    <w:rsid w:val="002C1BE5"/>
    <w:rsid w:val="002C3D3F"/>
    <w:rsid w:val="002C7286"/>
    <w:rsid w:val="002C7A3C"/>
    <w:rsid w:val="002D026D"/>
    <w:rsid w:val="002D0737"/>
    <w:rsid w:val="002D193E"/>
    <w:rsid w:val="002D33AB"/>
    <w:rsid w:val="002D3A50"/>
    <w:rsid w:val="002D4520"/>
    <w:rsid w:val="002D4D07"/>
    <w:rsid w:val="002D5515"/>
    <w:rsid w:val="002D5EF7"/>
    <w:rsid w:val="002D6B76"/>
    <w:rsid w:val="002E029F"/>
    <w:rsid w:val="002E0605"/>
    <w:rsid w:val="002E38FB"/>
    <w:rsid w:val="002E3DD2"/>
    <w:rsid w:val="002E3DE8"/>
    <w:rsid w:val="002E4773"/>
    <w:rsid w:val="002E4F2E"/>
    <w:rsid w:val="002E52D3"/>
    <w:rsid w:val="002E6479"/>
    <w:rsid w:val="002E64E3"/>
    <w:rsid w:val="002F0804"/>
    <w:rsid w:val="002F0BCA"/>
    <w:rsid w:val="002F0E93"/>
    <w:rsid w:val="002F5236"/>
    <w:rsid w:val="002F78CB"/>
    <w:rsid w:val="00300B1A"/>
    <w:rsid w:val="00300B65"/>
    <w:rsid w:val="0030110C"/>
    <w:rsid w:val="00301472"/>
    <w:rsid w:val="00301A7B"/>
    <w:rsid w:val="003028AD"/>
    <w:rsid w:val="003052E8"/>
    <w:rsid w:val="0030530B"/>
    <w:rsid w:val="0030563F"/>
    <w:rsid w:val="00310358"/>
    <w:rsid w:val="00310B13"/>
    <w:rsid w:val="00310E2B"/>
    <w:rsid w:val="00312C63"/>
    <w:rsid w:val="00312F57"/>
    <w:rsid w:val="0031473D"/>
    <w:rsid w:val="00314911"/>
    <w:rsid w:val="00316CCC"/>
    <w:rsid w:val="003170C4"/>
    <w:rsid w:val="003179F9"/>
    <w:rsid w:val="0032103F"/>
    <w:rsid w:val="0032169C"/>
    <w:rsid w:val="00321A9D"/>
    <w:rsid w:val="00322841"/>
    <w:rsid w:val="00323F06"/>
    <w:rsid w:val="0032475A"/>
    <w:rsid w:val="00324DA3"/>
    <w:rsid w:val="00325F1B"/>
    <w:rsid w:val="00327941"/>
    <w:rsid w:val="00330049"/>
    <w:rsid w:val="003309A3"/>
    <w:rsid w:val="003328E6"/>
    <w:rsid w:val="00334359"/>
    <w:rsid w:val="00335CC0"/>
    <w:rsid w:val="00335DE2"/>
    <w:rsid w:val="0033684A"/>
    <w:rsid w:val="003370B2"/>
    <w:rsid w:val="00337CED"/>
    <w:rsid w:val="003429C8"/>
    <w:rsid w:val="00343F21"/>
    <w:rsid w:val="003449DE"/>
    <w:rsid w:val="003455EB"/>
    <w:rsid w:val="00347801"/>
    <w:rsid w:val="00347BEE"/>
    <w:rsid w:val="00350D80"/>
    <w:rsid w:val="0035372F"/>
    <w:rsid w:val="00353CAE"/>
    <w:rsid w:val="00354FAC"/>
    <w:rsid w:val="003553CF"/>
    <w:rsid w:val="00355F8C"/>
    <w:rsid w:val="00355FDB"/>
    <w:rsid w:val="00357CD8"/>
    <w:rsid w:val="00357E93"/>
    <w:rsid w:val="00360BCF"/>
    <w:rsid w:val="003634D3"/>
    <w:rsid w:val="00363652"/>
    <w:rsid w:val="00364665"/>
    <w:rsid w:val="00367FA2"/>
    <w:rsid w:val="003701E4"/>
    <w:rsid w:val="00371263"/>
    <w:rsid w:val="00371921"/>
    <w:rsid w:val="00372B2F"/>
    <w:rsid w:val="00372E7A"/>
    <w:rsid w:val="003757C0"/>
    <w:rsid w:val="00377B51"/>
    <w:rsid w:val="00380B5B"/>
    <w:rsid w:val="003830B8"/>
    <w:rsid w:val="00383176"/>
    <w:rsid w:val="00383416"/>
    <w:rsid w:val="003838BB"/>
    <w:rsid w:val="00384597"/>
    <w:rsid w:val="0038496C"/>
    <w:rsid w:val="00385A68"/>
    <w:rsid w:val="00385DE3"/>
    <w:rsid w:val="003907D0"/>
    <w:rsid w:val="00390AA2"/>
    <w:rsid w:val="003931FA"/>
    <w:rsid w:val="00393B42"/>
    <w:rsid w:val="003945CF"/>
    <w:rsid w:val="00395A18"/>
    <w:rsid w:val="00395A39"/>
    <w:rsid w:val="00395D92"/>
    <w:rsid w:val="00396CD1"/>
    <w:rsid w:val="00397D5E"/>
    <w:rsid w:val="003A064E"/>
    <w:rsid w:val="003A08EC"/>
    <w:rsid w:val="003A1513"/>
    <w:rsid w:val="003A27FB"/>
    <w:rsid w:val="003A4582"/>
    <w:rsid w:val="003A778D"/>
    <w:rsid w:val="003A7B4F"/>
    <w:rsid w:val="003B08C1"/>
    <w:rsid w:val="003B19D0"/>
    <w:rsid w:val="003B2116"/>
    <w:rsid w:val="003B2A40"/>
    <w:rsid w:val="003B3FF1"/>
    <w:rsid w:val="003B4CAA"/>
    <w:rsid w:val="003C0DBB"/>
    <w:rsid w:val="003C2EA1"/>
    <w:rsid w:val="003C386F"/>
    <w:rsid w:val="003C44B0"/>
    <w:rsid w:val="003C584C"/>
    <w:rsid w:val="003C6A7F"/>
    <w:rsid w:val="003C7F6C"/>
    <w:rsid w:val="003D2171"/>
    <w:rsid w:val="003D2A17"/>
    <w:rsid w:val="003D3CB9"/>
    <w:rsid w:val="003D3CD0"/>
    <w:rsid w:val="003D3EE9"/>
    <w:rsid w:val="003D3FAF"/>
    <w:rsid w:val="003D54A5"/>
    <w:rsid w:val="003D767F"/>
    <w:rsid w:val="003D76AF"/>
    <w:rsid w:val="003E014E"/>
    <w:rsid w:val="003E06C1"/>
    <w:rsid w:val="003E1C82"/>
    <w:rsid w:val="003E1CE0"/>
    <w:rsid w:val="003E2784"/>
    <w:rsid w:val="003E2913"/>
    <w:rsid w:val="003E4CD0"/>
    <w:rsid w:val="003E5AD9"/>
    <w:rsid w:val="003E6D9D"/>
    <w:rsid w:val="003F11EA"/>
    <w:rsid w:val="003F1497"/>
    <w:rsid w:val="003F206D"/>
    <w:rsid w:val="003F2B93"/>
    <w:rsid w:val="003F2F09"/>
    <w:rsid w:val="003F3FFD"/>
    <w:rsid w:val="003F451F"/>
    <w:rsid w:val="003F486B"/>
    <w:rsid w:val="003F61EC"/>
    <w:rsid w:val="004012DD"/>
    <w:rsid w:val="00407BE5"/>
    <w:rsid w:val="004120DA"/>
    <w:rsid w:val="004126AF"/>
    <w:rsid w:val="0041341D"/>
    <w:rsid w:val="0041370B"/>
    <w:rsid w:val="00414A9A"/>
    <w:rsid w:val="004152B8"/>
    <w:rsid w:val="0041687A"/>
    <w:rsid w:val="00416E25"/>
    <w:rsid w:val="00417579"/>
    <w:rsid w:val="004201B2"/>
    <w:rsid w:val="00422C1D"/>
    <w:rsid w:val="00423217"/>
    <w:rsid w:val="00425711"/>
    <w:rsid w:val="0042598E"/>
    <w:rsid w:val="004267AE"/>
    <w:rsid w:val="00426FF0"/>
    <w:rsid w:val="0042784D"/>
    <w:rsid w:val="00427AB0"/>
    <w:rsid w:val="00430D4E"/>
    <w:rsid w:val="0043287A"/>
    <w:rsid w:val="00433521"/>
    <w:rsid w:val="0043482B"/>
    <w:rsid w:val="00435234"/>
    <w:rsid w:val="00435CE2"/>
    <w:rsid w:val="00436160"/>
    <w:rsid w:val="0043641D"/>
    <w:rsid w:val="0043644F"/>
    <w:rsid w:val="0043722C"/>
    <w:rsid w:val="004372DA"/>
    <w:rsid w:val="00441384"/>
    <w:rsid w:val="00441CDC"/>
    <w:rsid w:val="00443146"/>
    <w:rsid w:val="004431FE"/>
    <w:rsid w:val="004438F5"/>
    <w:rsid w:val="004446A0"/>
    <w:rsid w:val="00444B4D"/>
    <w:rsid w:val="0044520A"/>
    <w:rsid w:val="00446291"/>
    <w:rsid w:val="00446623"/>
    <w:rsid w:val="004475AB"/>
    <w:rsid w:val="004477F8"/>
    <w:rsid w:val="004500BB"/>
    <w:rsid w:val="0045013E"/>
    <w:rsid w:val="00450283"/>
    <w:rsid w:val="00452D5C"/>
    <w:rsid w:val="00453601"/>
    <w:rsid w:val="00455D7F"/>
    <w:rsid w:val="00456E2A"/>
    <w:rsid w:val="00457001"/>
    <w:rsid w:val="00460394"/>
    <w:rsid w:val="00460E55"/>
    <w:rsid w:val="00461410"/>
    <w:rsid w:val="00461ABF"/>
    <w:rsid w:val="00461FC4"/>
    <w:rsid w:val="00463A1C"/>
    <w:rsid w:val="00463EFF"/>
    <w:rsid w:val="004647E1"/>
    <w:rsid w:val="004667EF"/>
    <w:rsid w:val="00466912"/>
    <w:rsid w:val="0046736A"/>
    <w:rsid w:val="00471349"/>
    <w:rsid w:val="0047158C"/>
    <w:rsid w:val="00471A98"/>
    <w:rsid w:val="0047366D"/>
    <w:rsid w:val="004739A4"/>
    <w:rsid w:val="00473A3C"/>
    <w:rsid w:val="00473D66"/>
    <w:rsid w:val="00475A2C"/>
    <w:rsid w:val="004805DE"/>
    <w:rsid w:val="00480EC1"/>
    <w:rsid w:val="00481DE1"/>
    <w:rsid w:val="00482BD9"/>
    <w:rsid w:val="00483B56"/>
    <w:rsid w:val="00485441"/>
    <w:rsid w:val="0048593C"/>
    <w:rsid w:val="00485BD1"/>
    <w:rsid w:val="004861B6"/>
    <w:rsid w:val="00486940"/>
    <w:rsid w:val="00486EE5"/>
    <w:rsid w:val="00492CE0"/>
    <w:rsid w:val="00493993"/>
    <w:rsid w:val="00495CD0"/>
    <w:rsid w:val="0049641B"/>
    <w:rsid w:val="004A04A1"/>
    <w:rsid w:val="004A24A7"/>
    <w:rsid w:val="004A2674"/>
    <w:rsid w:val="004A71B4"/>
    <w:rsid w:val="004B10FD"/>
    <w:rsid w:val="004B465C"/>
    <w:rsid w:val="004B76B9"/>
    <w:rsid w:val="004B7FC9"/>
    <w:rsid w:val="004C1954"/>
    <w:rsid w:val="004C4560"/>
    <w:rsid w:val="004C556C"/>
    <w:rsid w:val="004C741F"/>
    <w:rsid w:val="004C7805"/>
    <w:rsid w:val="004C7895"/>
    <w:rsid w:val="004C7E45"/>
    <w:rsid w:val="004D1907"/>
    <w:rsid w:val="004D19AF"/>
    <w:rsid w:val="004D3E46"/>
    <w:rsid w:val="004D6183"/>
    <w:rsid w:val="004D682B"/>
    <w:rsid w:val="004D777A"/>
    <w:rsid w:val="004D7FE9"/>
    <w:rsid w:val="004E028F"/>
    <w:rsid w:val="004E1BBE"/>
    <w:rsid w:val="004E2CA8"/>
    <w:rsid w:val="004E3135"/>
    <w:rsid w:val="004E37BC"/>
    <w:rsid w:val="004E4879"/>
    <w:rsid w:val="004E4D1C"/>
    <w:rsid w:val="004E78D8"/>
    <w:rsid w:val="004F2235"/>
    <w:rsid w:val="004F2B0C"/>
    <w:rsid w:val="004F2F75"/>
    <w:rsid w:val="004F39C6"/>
    <w:rsid w:val="004F5E6A"/>
    <w:rsid w:val="004F6114"/>
    <w:rsid w:val="004F658D"/>
    <w:rsid w:val="004F76B4"/>
    <w:rsid w:val="00500543"/>
    <w:rsid w:val="00501B71"/>
    <w:rsid w:val="00502265"/>
    <w:rsid w:val="0050329E"/>
    <w:rsid w:val="00503BC8"/>
    <w:rsid w:val="005043EE"/>
    <w:rsid w:val="005050B7"/>
    <w:rsid w:val="0050665B"/>
    <w:rsid w:val="00507038"/>
    <w:rsid w:val="00507409"/>
    <w:rsid w:val="005075CB"/>
    <w:rsid w:val="00510378"/>
    <w:rsid w:val="0051105C"/>
    <w:rsid w:val="005128EE"/>
    <w:rsid w:val="00512BC2"/>
    <w:rsid w:val="00513275"/>
    <w:rsid w:val="00514282"/>
    <w:rsid w:val="005152D8"/>
    <w:rsid w:val="005155AB"/>
    <w:rsid w:val="005165A8"/>
    <w:rsid w:val="0051689C"/>
    <w:rsid w:val="00522E44"/>
    <w:rsid w:val="0052483F"/>
    <w:rsid w:val="0052529A"/>
    <w:rsid w:val="00527185"/>
    <w:rsid w:val="005305E7"/>
    <w:rsid w:val="0053169E"/>
    <w:rsid w:val="00532DA5"/>
    <w:rsid w:val="00533655"/>
    <w:rsid w:val="00534713"/>
    <w:rsid w:val="00535233"/>
    <w:rsid w:val="00535CE2"/>
    <w:rsid w:val="00537986"/>
    <w:rsid w:val="005412FA"/>
    <w:rsid w:val="00541CFB"/>
    <w:rsid w:val="00541FBD"/>
    <w:rsid w:val="0054287C"/>
    <w:rsid w:val="005442CE"/>
    <w:rsid w:val="005474AE"/>
    <w:rsid w:val="00552001"/>
    <w:rsid w:val="00555AB4"/>
    <w:rsid w:val="00555DAC"/>
    <w:rsid w:val="005566D2"/>
    <w:rsid w:val="00560023"/>
    <w:rsid w:val="00561133"/>
    <w:rsid w:val="0056178B"/>
    <w:rsid w:val="00562922"/>
    <w:rsid w:val="00564FA7"/>
    <w:rsid w:val="005655AC"/>
    <w:rsid w:val="005660B0"/>
    <w:rsid w:val="00566B68"/>
    <w:rsid w:val="00566EBD"/>
    <w:rsid w:val="00567BE8"/>
    <w:rsid w:val="00570201"/>
    <w:rsid w:val="005706CC"/>
    <w:rsid w:val="0057097C"/>
    <w:rsid w:val="005720AC"/>
    <w:rsid w:val="005728B7"/>
    <w:rsid w:val="00573674"/>
    <w:rsid w:val="00574142"/>
    <w:rsid w:val="00574C3F"/>
    <w:rsid w:val="0057591E"/>
    <w:rsid w:val="00575B00"/>
    <w:rsid w:val="00577B16"/>
    <w:rsid w:val="005802B6"/>
    <w:rsid w:val="005807E3"/>
    <w:rsid w:val="00580B1A"/>
    <w:rsid w:val="00581BD0"/>
    <w:rsid w:val="0058211B"/>
    <w:rsid w:val="00584357"/>
    <w:rsid w:val="005851B0"/>
    <w:rsid w:val="0059014A"/>
    <w:rsid w:val="005909E8"/>
    <w:rsid w:val="00590F69"/>
    <w:rsid w:val="0059266A"/>
    <w:rsid w:val="00593067"/>
    <w:rsid w:val="00593C24"/>
    <w:rsid w:val="0059474A"/>
    <w:rsid w:val="00596A80"/>
    <w:rsid w:val="00597BEC"/>
    <w:rsid w:val="005A2C3B"/>
    <w:rsid w:val="005A41C0"/>
    <w:rsid w:val="005A4D63"/>
    <w:rsid w:val="005A6AF1"/>
    <w:rsid w:val="005B00D2"/>
    <w:rsid w:val="005B00D6"/>
    <w:rsid w:val="005B6108"/>
    <w:rsid w:val="005B6B73"/>
    <w:rsid w:val="005B6FB3"/>
    <w:rsid w:val="005C2465"/>
    <w:rsid w:val="005C3C93"/>
    <w:rsid w:val="005C4527"/>
    <w:rsid w:val="005C54AB"/>
    <w:rsid w:val="005C5BD4"/>
    <w:rsid w:val="005D14D2"/>
    <w:rsid w:val="005D2C45"/>
    <w:rsid w:val="005D34DF"/>
    <w:rsid w:val="005D5E3A"/>
    <w:rsid w:val="005D63B7"/>
    <w:rsid w:val="005D6551"/>
    <w:rsid w:val="005E3402"/>
    <w:rsid w:val="005E35F4"/>
    <w:rsid w:val="005E7A75"/>
    <w:rsid w:val="005F125E"/>
    <w:rsid w:val="005F4D4E"/>
    <w:rsid w:val="005F5582"/>
    <w:rsid w:val="005F57C8"/>
    <w:rsid w:val="005F6316"/>
    <w:rsid w:val="0060183F"/>
    <w:rsid w:val="0060229E"/>
    <w:rsid w:val="00603798"/>
    <w:rsid w:val="00603850"/>
    <w:rsid w:val="00603975"/>
    <w:rsid w:val="006048B5"/>
    <w:rsid w:val="00605068"/>
    <w:rsid w:val="006051DC"/>
    <w:rsid w:val="006066C0"/>
    <w:rsid w:val="006075BA"/>
    <w:rsid w:val="00613AB9"/>
    <w:rsid w:val="00615643"/>
    <w:rsid w:val="00616185"/>
    <w:rsid w:val="00616298"/>
    <w:rsid w:val="00617518"/>
    <w:rsid w:val="0061769C"/>
    <w:rsid w:val="006207FC"/>
    <w:rsid w:val="006218FE"/>
    <w:rsid w:val="00621C70"/>
    <w:rsid w:val="00622A25"/>
    <w:rsid w:val="00623A5D"/>
    <w:rsid w:val="006242F8"/>
    <w:rsid w:val="0062463A"/>
    <w:rsid w:val="0062564B"/>
    <w:rsid w:val="00625B98"/>
    <w:rsid w:val="0062649D"/>
    <w:rsid w:val="00626B04"/>
    <w:rsid w:val="006275AD"/>
    <w:rsid w:val="0063032C"/>
    <w:rsid w:val="00632170"/>
    <w:rsid w:val="006332E3"/>
    <w:rsid w:val="006369CA"/>
    <w:rsid w:val="00636CD0"/>
    <w:rsid w:val="00641A1D"/>
    <w:rsid w:val="00641D27"/>
    <w:rsid w:val="0064331D"/>
    <w:rsid w:val="00643A6D"/>
    <w:rsid w:val="00643EC0"/>
    <w:rsid w:val="00644213"/>
    <w:rsid w:val="00644272"/>
    <w:rsid w:val="0064549D"/>
    <w:rsid w:val="00646DA6"/>
    <w:rsid w:val="006472F6"/>
    <w:rsid w:val="006477C0"/>
    <w:rsid w:val="00652658"/>
    <w:rsid w:val="00653150"/>
    <w:rsid w:val="006553E4"/>
    <w:rsid w:val="00656B4C"/>
    <w:rsid w:val="0066011C"/>
    <w:rsid w:val="006609CC"/>
    <w:rsid w:val="00660AE4"/>
    <w:rsid w:val="00661050"/>
    <w:rsid w:val="00661861"/>
    <w:rsid w:val="00661A42"/>
    <w:rsid w:val="00662ABB"/>
    <w:rsid w:val="006635F2"/>
    <w:rsid w:val="006638DE"/>
    <w:rsid w:val="00664889"/>
    <w:rsid w:val="00666793"/>
    <w:rsid w:val="006703B3"/>
    <w:rsid w:val="00670E32"/>
    <w:rsid w:val="006752E1"/>
    <w:rsid w:val="00676620"/>
    <w:rsid w:val="00677994"/>
    <w:rsid w:val="0068023F"/>
    <w:rsid w:val="006828D0"/>
    <w:rsid w:val="0068369D"/>
    <w:rsid w:val="006847A0"/>
    <w:rsid w:val="006868A4"/>
    <w:rsid w:val="00687066"/>
    <w:rsid w:val="00687582"/>
    <w:rsid w:val="00691F89"/>
    <w:rsid w:val="0069211C"/>
    <w:rsid w:val="006936E2"/>
    <w:rsid w:val="00693759"/>
    <w:rsid w:val="00694F29"/>
    <w:rsid w:val="0069624E"/>
    <w:rsid w:val="0069683A"/>
    <w:rsid w:val="00696F2D"/>
    <w:rsid w:val="006976F8"/>
    <w:rsid w:val="006A04B6"/>
    <w:rsid w:val="006A1852"/>
    <w:rsid w:val="006A2911"/>
    <w:rsid w:val="006A3258"/>
    <w:rsid w:val="006A4CD1"/>
    <w:rsid w:val="006A5EBF"/>
    <w:rsid w:val="006A71FE"/>
    <w:rsid w:val="006A7878"/>
    <w:rsid w:val="006B0AC7"/>
    <w:rsid w:val="006B0FC9"/>
    <w:rsid w:val="006B2B75"/>
    <w:rsid w:val="006B2F68"/>
    <w:rsid w:val="006B3525"/>
    <w:rsid w:val="006B515A"/>
    <w:rsid w:val="006B5870"/>
    <w:rsid w:val="006B5CC8"/>
    <w:rsid w:val="006B75DC"/>
    <w:rsid w:val="006B7777"/>
    <w:rsid w:val="006C02FF"/>
    <w:rsid w:val="006C39D5"/>
    <w:rsid w:val="006C6FB7"/>
    <w:rsid w:val="006C76AB"/>
    <w:rsid w:val="006C7824"/>
    <w:rsid w:val="006C7895"/>
    <w:rsid w:val="006C79A9"/>
    <w:rsid w:val="006D19BB"/>
    <w:rsid w:val="006D3AC6"/>
    <w:rsid w:val="006D3DE3"/>
    <w:rsid w:val="006D4961"/>
    <w:rsid w:val="006D67A5"/>
    <w:rsid w:val="006D6F28"/>
    <w:rsid w:val="006E03B3"/>
    <w:rsid w:val="006E123C"/>
    <w:rsid w:val="006E24A8"/>
    <w:rsid w:val="006E36F7"/>
    <w:rsid w:val="006E43D1"/>
    <w:rsid w:val="006E4B98"/>
    <w:rsid w:val="006E4E83"/>
    <w:rsid w:val="006E5CC9"/>
    <w:rsid w:val="006E6256"/>
    <w:rsid w:val="006E73E6"/>
    <w:rsid w:val="006E757F"/>
    <w:rsid w:val="006F100D"/>
    <w:rsid w:val="006F2120"/>
    <w:rsid w:val="006F229B"/>
    <w:rsid w:val="006F5A38"/>
    <w:rsid w:val="006F65A0"/>
    <w:rsid w:val="006F6C5F"/>
    <w:rsid w:val="006F73C5"/>
    <w:rsid w:val="006F7A0C"/>
    <w:rsid w:val="00700029"/>
    <w:rsid w:val="00701189"/>
    <w:rsid w:val="007011BE"/>
    <w:rsid w:val="0070176C"/>
    <w:rsid w:val="00701F67"/>
    <w:rsid w:val="0070270B"/>
    <w:rsid w:val="00703450"/>
    <w:rsid w:val="0070345A"/>
    <w:rsid w:val="00704739"/>
    <w:rsid w:val="007047E7"/>
    <w:rsid w:val="00705253"/>
    <w:rsid w:val="0070563A"/>
    <w:rsid w:val="007079CB"/>
    <w:rsid w:val="00710DB2"/>
    <w:rsid w:val="00712161"/>
    <w:rsid w:val="0071354F"/>
    <w:rsid w:val="00714059"/>
    <w:rsid w:val="00714E17"/>
    <w:rsid w:val="0072354B"/>
    <w:rsid w:val="00723B48"/>
    <w:rsid w:val="00723BC1"/>
    <w:rsid w:val="007267DA"/>
    <w:rsid w:val="00730239"/>
    <w:rsid w:val="00731AC9"/>
    <w:rsid w:val="0073279B"/>
    <w:rsid w:val="007328B4"/>
    <w:rsid w:val="007340FD"/>
    <w:rsid w:val="00734AC5"/>
    <w:rsid w:val="0073609D"/>
    <w:rsid w:val="00736263"/>
    <w:rsid w:val="0073696E"/>
    <w:rsid w:val="0073749D"/>
    <w:rsid w:val="00737771"/>
    <w:rsid w:val="0073799F"/>
    <w:rsid w:val="00737A6C"/>
    <w:rsid w:val="00742363"/>
    <w:rsid w:val="007426A7"/>
    <w:rsid w:val="00743C16"/>
    <w:rsid w:val="0074701C"/>
    <w:rsid w:val="00747CB5"/>
    <w:rsid w:val="00752502"/>
    <w:rsid w:val="007533ED"/>
    <w:rsid w:val="00753A4B"/>
    <w:rsid w:val="00753DCF"/>
    <w:rsid w:val="0075525D"/>
    <w:rsid w:val="00756402"/>
    <w:rsid w:val="0075702D"/>
    <w:rsid w:val="0076042A"/>
    <w:rsid w:val="007613A9"/>
    <w:rsid w:val="007619BA"/>
    <w:rsid w:val="00761B56"/>
    <w:rsid w:val="00762766"/>
    <w:rsid w:val="00762E79"/>
    <w:rsid w:val="00764A16"/>
    <w:rsid w:val="00764F1D"/>
    <w:rsid w:val="00765CB4"/>
    <w:rsid w:val="00766F48"/>
    <w:rsid w:val="00767A88"/>
    <w:rsid w:val="00767B3B"/>
    <w:rsid w:val="00767B92"/>
    <w:rsid w:val="00770166"/>
    <w:rsid w:val="00772585"/>
    <w:rsid w:val="00773F61"/>
    <w:rsid w:val="007741D9"/>
    <w:rsid w:val="00775B8A"/>
    <w:rsid w:val="00775DC9"/>
    <w:rsid w:val="00777857"/>
    <w:rsid w:val="00780136"/>
    <w:rsid w:val="00780B8B"/>
    <w:rsid w:val="00782704"/>
    <w:rsid w:val="007839B2"/>
    <w:rsid w:val="0078411B"/>
    <w:rsid w:val="007868A2"/>
    <w:rsid w:val="00787083"/>
    <w:rsid w:val="00787707"/>
    <w:rsid w:val="007951CD"/>
    <w:rsid w:val="00795C68"/>
    <w:rsid w:val="007A343C"/>
    <w:rsid w:val="007A3FF3"/>
    <w:rsid w:val="007A5CB9"/>
    <w:rsid w:val="007A5E40"/>
    <w:rsid w:val="007A60B0"/>
    <w:rsid w:val="007A6EBA"/>
    <w:rsid w:val="007B0196"/>
    <w:rsid w:val="007B11C9"/>
    <w:rsid w:val="007B1803"/>
    <w:rsid w:val="007B2E33"/>
    <w:rsid w:val="007B39A9"/>
    <w:rsid w:val="007B3DEC"/>
    <w:rsid w:val="007B4DA0"/>
    <w:rsid w:val="007B5407"/>
    <w:rsid w:val="007B65EB"/>
    <w:rsid w:val="007B79B9"/>
    <w:rsid w:val="007C02B4"/>
    <w:rsid w:val="007C0D5F"/>
    <w:rsid w:val="007C0E83"/>
    <w:rsid w:val="007C1768"/>
    <w:rsid w:val="007C2FFA"/>
    <w:rsid w:val="007C3B3B"/>
    <w:rsid w:val="007C6F5D"/>
    <w:rsid w:val="007D08BE"/>
    <w:rsid w:val="007D2F06"/>
    <w:rsid w:val="007D30FE"/>
    <w:rsid w:val="007D3C79"/>
    <w:rsid w:val="007D482C"/>
    <w:rsid w:val="007D71B3"/>
    <w:rsid w:val="007D7C16"/>
    <w:rsid w:val="007E025D"/>
    <w:rsid w:val="007E3A28"/>
    <w:rsid w:val="007E3B8C"/>
    <w:rsid w:val="007E6464"/>
    <w:rsid w:val="007E7A6E"/>
    <w:rsid w:val="007E7B13"/>
    <w:rsid w:val="007E7B75"/>
    <w:rsid w:val="007E7EE8"/>
    <w:rsid w:val="007E7F82"/>
    <w:rsid w:val="007F21A8"/>
    <w:rsid w:val="007F2C95"/>
    <w:rsid w:val="007F395F"/>
    <w:rsid w:val="007F405F"/>
    <w:rsid w:val="007F40EC"/>
    <w:rsid w:val="007F5F90"/>
    <w:rsid w:val="007F738E"/>
    <w:rsid w:val="00801D97"/>
    <w:rsid w:val="008038A9"/>
    <w:rsid w:val="00804A0D"/>
    <w:rsid w:val="00810C30"/>
    <w:rsid w:val="00811802"/>
    <w:rsid w:val="00813285"/>
    <w:rsid w:val="0081740D"/>
    <w:rsid w:val="0082151F"/>
    <w:rsid w:val="008250BF"/>
    <w:rsid w:val="00825A46"/>
    <w:rsid w:val="00826FD9"/>
    <w:rsid w:val="00832ED1"/>
    <w:rsid w:val="0083306D"/>
    <w:rsid w:val="00834F9A"/>
    <w:rsid w:val="00835500"/>
    <w:rsid w:val="00835B57"/>
    <w:rsid w:val="00835EA7"/>
    <w:rsid w:val="00837818"/>
    <w:rsid w:val="00840783"/>
    <w:rsid w:val="008407C7"/>
    <w:rsid w:val="00842534"/>
    <w:rsid w:val="008430D3"/>
    <w:rsid w:val="00843C3A"/>
    <w:rsid w:val="00845F13"/>
    <w:rsid w:val="00850123"/>
    <w:rsid w:val="00850375"/>
    <w:rsid w:val="008524F3"/>
    <w:rsid w:val="00852DE4"/>
    <w:rsid w:val="00854D4E"/>
    <w:rsid w:val="00855838"/>
    <w:rsid w:val="00855957"/>
    <w:rsid w:val="00855A2B"/>
    <w:rsid w:val="00856423"/>
    <w:rsid w:val="008626DA"/>
    <w:rsid w:val="00862CCB"/>
    <w:rsid w:val="00863925"/>
    <w:rsid w:val="00863EA1"/>
    <w:rsid w:val="00864604"/>
    <w:rsid w:val="0086550C"/>
    <w:rsid w:val="0086646F"/>
    <w:rsid w:val="00866707"/>
    <w:rsid w:val="00866D4C"/>
    <w:rsid w:val="0086781C"/>
    <w:rsid w:val="008703D4"/>
    <w:rsid w:val="0087210A"/>
    <w:rsid w:val="008736CF"/>
    <w:rsid w:val="008745BE"/>
    <w:rsid w:val="00876486"/>
    <w:rsid w:val="008773A9"/>
    <w:rsid w:val="0088261B"/>
    <w:rsid w:val="008827A9"/>
    <w:rsid w:val="00882C72"/>
    <w:rsid w:val="0088405E"/>
    <w:rsid w:val="00884C8C"/>
    <w:rsid w:val="00884E2C"/>
    <w:rsid w:val="008852BD"/>
    <w:rsid w:val="008854C5"/>
    <w:rsid w:val="008856FF"/>
    <w:rsid w:val="00886815"/>
    <w:rsid w:val="008876A2"/>
    <w:rsid w:val="00887AEC"/>
    <w:rsid w:val="00891D1B"/>
    <w:rsid w:val="0089207F"/>
    <w:rsid w:val="00892F3A"/>
    <w:rsid w:val="008940BB"/>
    <w:rsid w:val="00894193"/>
    <w:rsid w:val="0089441E"/>
    <w:rsid w:val="008944D8"/>
    <w:rsid w:val="008969AA"/>
    <w:rsid w:val="008975A5"/>
    <w:rsid w:val="008A0C60"/>
    <w:rsid w:val="008A17A0"/>
    <w:rsid w:val="008A1A60"/>
    <w:rsid w:val="008A1B7F"/>
    <w:rsid w:val="008A3037"/>
    <w:rsid w:val="008A462C"/>
    <w:rsid w:val="008A586F"/>
    <w:rsid w:val="008A7448"/>
    <w:rsid w:val="008A7D2B"/>
    <w:rsid w:val="008A7E0E"/>
    <w:rsid w:val="008B1193"/>
    <w:rsid w:val="008B2C50"/>
    <w:rsid w:val="008B2F95"/>
    <w:rsid w:val="008B335E"/>
    <w:rsid w:val="008B5163"/>
    <w:rsid w:val="008B5696"/>
    <w:rsid w:val="008B5B89"/>
    <w:rsid w:val="008B72CA"/>
    <w:rsid w:val="008B770F"/>
    <w:rsid w:val="008C22EE"/>
    <w:rsid w:val="008C2FDF"/>
    <w:rsid w:val="008C4B1F"/>
    <w:rsid w:val="008C5E80"/>
    <w:rsid w:val="008C6293"/>
    <w:rsid w:val="008D0DD1"/>
    <w:rsid w:val="008D2D46"/>
    <w:rsid w:val="008D3C7A"/>
    <w:rsid w:val="008D56AA"/>
    <w:rsid w:val="008D6130"/>
    <w:rsid w:val="008D6A91"/>
    <w:rsid w:val="008D6BED"/>
    <w:rsid w:val="008E0714"/>
    <w:rsid w:val="008E0930"/>
    <w:rsid w:val="008E19CF"/>
    <w:rsid w:val="008E1DF5"/>
    <w:rsid w:val="008E31BB"/>
    <w:rsid w:val="008E363F"/>
    <w:rsid w:val="008E3AD2"/>
    <w:rsid w:val="008E56A0"/>
    <w:rsid w:val="008E5BCC"/>
    <w:rsid w:val="008E7378"/>
    <w:rsid w:val="008E7650"/>
    <w:rsid w:val="008E7912"/>
    <w:rsid w:val="008F05EA"/>
    <w:rsid w:val="008F0D85"/>
    <w:rsid w:val="008F16CD"/>
    <w:rsid w:val="008F1EE6"/>
    <w:rsid w:val="008F24F6"/>
    <w:rsid w:val="008F3A04"/>
    <w:rsid w:val="008F4D0C"/>
    <w:rsid w:val="00900A35"/>
    <w:rsid w:val="00902D44"/>
    <w:rsid w:val="009035D2"/>
    <w:rsid w:val="00903D55"/>
    <w:rsid w:val="00903DB6"/>
    <w:rsid w:val="00906885"/>
    <w:rsid w:val="009069AC"/>
    <w:rsid w:val="009077A8"/>
    <w:rsid w:val="0091424F"/>
    <w:rsid w:val="00914286"/>
    <w:rsid w:val="009144F0"/>
    <w:rsid w:val="00914681"/>
    <w:rsid w:val="00915EEC"/>
    <w:rsid w:val="009207E8"/>
    <w:rsid w:val="00921204"/>
    <w:rsid w:val="00921AA3"/>
    <w:rsid w:val="00921E06"/>
    <w:rsid w:val="00922F49"/>
    <w:rsid w:val="009319B6"/>
    <w:rsid w:val="00932827"/>
    <w:rsid w:val="00935019"/>
    <w:rsid w:val="00936228"/>
    <w:rsid w:val="009371E1"/>
    <w:rsid w:val="00937547"/>
    <w:rsid w:val="00937D7E"/>
    <w:rsid w:val="00940DCA"/>
    <w:rsid w:val="00941FF7"/>
    <w:rsid w:val="00942988"/>
    <w:rsid w:val="0094374A"/>
    <w:rsid w:val="0094686D"/>
    <w:rsid w:val="00950EB0"/>
    <w:rsid w:val="009532E7"/>
    <w:rsid w:val="0095767A"/>
    <w:rsid w:val="00957F09"/>
    <w:rsid w:val="009603D7"/>
    <w:rsid w:val="009622E5"/>
    <w:rsid w:val="00963D24"/>
    <w:rsid w:val="00965F06"/>
    <w:rsid w:val="00966794"/>
    <w:rsid w:val="00966C9A"/>
    <w:rsid w:val="00966F41"/>
    <w:rsid w:val="0096767F"/>
    <w:rsid w:val="00970A2F"/>
    <w:rsid w:val="00971257"/>
    <w:rsid w:val="0097183D"/>
    <w:rsid w:val="00971CA0"/>
    <w:rsid w:val="009738B8"/>
    <w:rsid w:val="00975285"/>
    <w:rsid w:val="00975E16"/>
    <w:rsid w:val="009777D2"/>
    <w:rsid w:val="00981CDE"/>
    <w:rsid w:val="00981F51"/>
    <w:rsid w:val="00982BB2"/>
    <w:rsid w:val="00986A53"/>
    <w:rsid w:val="00987431"/>
    <w:rsid w:val="00987D10"/>
    <w:rsid w:val="00987E29"/>
    <w:rsid w:val="00990221"/>
    <w:rsid w:val="009908E1"/>
    <w:rsid w:val="009909D6"/>
    <w:rsid w:val="0099137D"/>
    <w:rsid w:val="009946C3"/>
    <w:rsid w:val="009947BD"/>
    <w:rsid w:val="009953F0"/>
    <w:rsid w:val="00995A17"/>
    <w:rsid w:val="00997EB8"/>
    <w:rsid w:val="009A1D19"/>
    <w:rsid w:val="009A3461"/>
    <w:rsid w:val="009A3DA4"/>
    <w:rsid w:val="009A3EB0"/>
    <w:rsid w:val="009A5798"/>
    <w:rsid w:val="009A5FB4"/>
    <w:rsid w:val="009A6876"/>
    <w:rsid w:val="009A6D5B"/>
    <w:rsid w:val="009A6F69"/>
    <w:rsid w:val="009A7741"/>
    <w:rsid w:val="009A7C3E"/>
    <w:rsid w:val="009B29A1"/>
    <w:rsid w:val="009B4AAA"/>
    <w:rsid w:val="009B6A5D"/>
    <w:rsid w:val="009B6F36"/>
    <w:rsid w:val="009C17FB"/>
    <w:rsid w:val="009C5A11"/>
    <w:rsid w:val="009C5BE2"/>
    <w:rsid w:val="009C6790"/>
    <w:rsid w:val="009C7F5E"/>
    <w:rsid w:val="009D14BA"/>
    <w:rsid w:val="009D3461"/>
    <w:rsid w:val="009D38BF"/>
    <w:rsid w:val="009D3F7D"/>
    <w:rsid w:val="009D5241"/>
    <w:rsid w:val="009D53D9"/>
    <w:rsid w:val="009D5A34"/>
    <w:rsid w:val="009D5A44"/>
    <w:rsid w:val="009E04EB"/>
    <w:rsid w:val="009E1A3C"/>
    <w:rsid w:val="009E24CB"/>
    <w:rsid w:val="009E27D2"/>
    <w:rsid w:val="009E2C0C"/>
    <w:rsid w:val="009E347E"/>
    <w:rsid w:val="009E3D47"/>
    <w:rsid w:val="009E4669"/>
    <w:rsid w:val="009E50F1"/>
    <w:rsid w:val="009F078B"/>
    <w:rsid w:val="009F1543"/>
    <w:rsid w:val="009F1A22"/>
    <w:rsid w:val="009F37B9"/>
    <w:rsid w:val="009F5526"/>
    <w:rsid w:val="009F7672"/>
    <w:rsid w:val="009F7A85"/>
    <w:rsid w:val="00A007FD"/>
    <w:rsid w:val="00A0149C"/>
    <w:rsid w:val="00A01D49"/>
    <w:rsid w:val="00A0421A"/>
    <w:rsid w:val="00A05790"/>
    <w:rsid w:val="00A06D7E"/>
    <w:rsid w:val="00A10276"/>
    <w:rsid w:val="00A1050D"/>
    <w:rsid w:val="00A10F68"/>
    <w:rsid w:val="00A11007"/>
    <w:rsid w:val="00A116E0"/>
    <w:rsid w:val="00A14489"/>
    <w:rsid w:val="00A1478D"/>
    <w:rsid w:val="00A203E0"/>
    <w:rsid w:val="00A20A0A"/>
    <w:rsid w:val="00A21475"/>
    <w:rsid w:val="00A226B8"/>
    <w:rsid w:val="00A23153"/>
    <w:rsid w:val="00A24452"/>
    <w:rsid w:val="00A245AF"/>
    <w:rsid w:val="00A24C4C"/>
    <w:rsid w:val="00A24CFD"/>
    <w:rsid w:val="00A25DB9"/>
    <w:rsid w:val="00A25E42"/>
    <w:rsid w:val="00A2661B"/>
    <w:rsid w:val="00A271F1"/>
    <w:rsid w:val="00A30298"/>
    <w:rsid w:val="00A30BAB"/>
    <w:rsid w:val="00A32DD0"/>
    <w:rsid w:val="00A33268"/>
    <w:rsid w:val="00A33AE8"/>
    <w:rsid w:val="00A33E50"/>
    <w:rsid w:val="00A346D5"/>
    <w:rsid w:val="00A346E5"/>
    <w:rsid w:val="00A34B76"/>
    <w:rsid w:val="00A36E6E"/>
    <w:rsid w:val="00A3776C"/>
    <w:rsid w:val="00A3796B"/>
    <w:rsid w:val="00A4035C"/>
    <w:rsid w:val="00A40A64"/>
    <w:rsid w:val="00A41159"/>
    <w:rsid w:val="00A4173D"/>
    <w:rsid w:val="00A4511D"/>
    <w:rsid w:val="00A4553E"/>
    <w:rsid w:val="00A50261"/>
    <w:rsid w:val="00A51F27"/>
    <w:rsid w:val="00A5266F"/>
    <w:rsid w:val="00A549CE"/>
    <w:rsid w:val="00A561B6"/>
    <w:rsid w:val="00A575F0"/>
    <w:rsid w:val="00A57A87"/>
    <w:rsid w:val="00A609B7"/>
    <w:rsid w:val="00A60B26"/>
    <w:rsid w:val="00A60CDE"/>
    <w:rsid w:val="00A61977"/>
    <w:rsid w:val="00A62684"/>
    <w:rsid w:val="00A62697"/>
    <w:rsid w:val="00A651D0"/>
    <w:rsid w:val="00A652AC"/>
    <w:rsid w:val="00A66B40"/>
    <w:rsid w:val="00A67704"/>
    <w:rsid w:val="00A7097B"/>
    <w:rsid w:val="00A7106C"/>
    <w:rsid w:val="00A71F28"/>
    <w:rsid w:val="00A72034"/>
    <w:rsid w:val="00A720DB"/>
    <w:rsid w:val="00A743A8"/>
    <w:rsid w:val="00A74502"/>
    <w:rsid w:val="00A753C7"/>
    <w:rsid w:val="00A75F43"/>
    <w:rsid w:val="00A76B31"/>
    <w:rsid w:val="00A77F0B"/>
    <w:rsid w:val="00A8009F"/>
    <w:rsid w:val="00A80960"/>
    <w:rsid w:val="00A80A19"/>
    <w:rsid w:val="00A80AAC"/>
    <w:rsid w:val="00A8272E"/>
    <w:rsid w:val="00A83383"/>
    <w:rsid w:val="00A837C9"/>
    <w:rsid w:val="00A843AE"/>
    <w:rsid w:val="00A8499E"/>
    <w:rsid w:val="00A85AEF"/>
    <w:rsid w:val="00A861C6"/>
    <w:rsid w:val="00A87EC2"/>
    <w:rsid w:val="00A91526"/>
    <w:rsid w:val="00A93007"/>
    <w:rsid w:val="00A932A6"/>
    <w:rsid w:val="00A9347E"/>
    <w:rsid w:val="00A952CB"/>
    <w:rsid w:val="00A95769"/>
    <w:rsid w:val="00A9585C"/>
    <w:rsid w:val="00A960C0"/>
    <w:rsid w:val="00A9699A"/>
    <w:rsid w:val="00AA01A4"/>
    <w:rsid w:val="00AA25D6"/>
    <w:rsid w:val="00AA37FE"/>
    <w:rsid w:val="00AA6FD8"/>
    <w:rsid w:val="00AA707D"/>
    <w:rsid w:val="00AB077E"/>
    <w:rsid w:val="00AB1649"/>
    <w:rsid w:val="00AB1CA9"/>
    <w:rsid w:val="00AB21EF"/>
    <w:rsid w:val="00AB2549"/>
    <w:rsid w:val="00AB3817"/>
    <w:rsid w:val="00AB3BB9"/>
    <w:rsid w:val="00AB3F51"/>
    <w:rsid w:val="00AB5F2C"/>
    <w:rsid w:val="00AB760C"/>
    <w:rsid w:val="00AB7631"/>
    <w:rsid w:val="00AC055E"/>
    <w:rsid w:val="00AC0A16"/>
    <w:rsid w:val="00AC2095"/>
    <w:rsid w:val="00AC20B4"/>
    <w:rsid w:val="00AC24EC"/>
    <w:rsid w:val="00AC361B"/>
    <w:rsid w:val="00AC6678"/>
    <w:rsid w:val="00AC6FBE"/>
    <w:rsid w:val="00AD1488"/>
    <w:rsid w:val="00AD227D"/>
    <w:rsid w:val="00AD3B64"/>
    <w:rsid w:val="00AD4325"/>
    <w:rsid w:val="00AD6576"/>
    <w:rsid w:val="00AD65FD"/>
    <w:rsid w:val="00AE0B11"/>
    <w:rsid w:val="00AE143C"/>
    <w:rsid w:val="00AE2804"/>
    <w:rsid w:val="00AE2ADD"/>
    <w:rsid w:val="00AE2C27"/>
    <w:rsid w:val="00AE3681"/>
    <w:rsid w:val="00AE3C8F"/>
    <w:rsid w:val="00AE442C"/>
    <w:rsid w:val="00AE654E"/>
    <w:rsid w:val="00AE6E34"/>
    <w:rsid w:val="00AF052B"/>
    <w:rsid w:val="00AF09C2"/>
    <w:rsid w:val="00AF1167"/>
    <w:rsid w:val="00AF24D0"/>
    <w:rsid w:val="00AF34C0"/>
    <w:rsid w:val="00AF67FA"/>
    <w:rsid w:val="00B0090C"/>
    <w:rsid w:val="00B00B3C"/>
    <w:rsid w:val="00B03CBB"/>
    <w:rsid w:val="00B04A40"/>
    <w:rsid w:val="00B10B8F"/>
    <w:rsid w:val="00B10FBD"/>
    <w:rsid w:val="00B135FE"/>
    <w:rsid w:val="00B138FA"/>
    <w:rsid w:val="00B15070"/>
    <w:rsid w:val="00B159F3"/>
    <w:rsid w:val="00B16898"/>
    <w:rsid w:val="00B16A40"/>
    <w:rsid w:val="00B16F91"/>
    <w:rsid w:val="00B176BF"/>
    <w:rsid w:val="00B234C0"/>
    <w:rsid w:val="00B23973"/>
    <w:rsid w:val="00B25F27"/>
    <w:rsid w:val="00B27A72"/>
    <w:rsid w:val="00B27DD5"/>
    <w:rsid w:val="00B300ED"/>
    <w:rsid w:val="00B308D2"/>
    <w:rsid w:val="00B3111C"/>
    <w:rsid w:val="00B32579"/>
    <w:rsid w:val="00B32760"/>
    <w:rsid w:val="00B33A97"/>
    <w:rsid w:val="00B34491"/>
    <w:rsid w:val="00B35011"/>
    <w:rsid w:val="00B354E2"/>
    <w:rsid w:val="00B361BC"/>
    <w:rsid w:val="00B43CF5"/>
    <w:rsid w:val="00B43E34"/>
    <w:rsid w:val="00B44ACA"/>
    <w:rsid w:val="00B44DA7"/>
    <w:rsid w:val="00B457E5"/>
    <w:rsid w:val="00B5018A"/>
    <w:rsid w:val="00B50BC3"/>
    <w:rsid w:val="00B51878"/>
    <w:rsid w:val="00B51956"/>
    <w:rsid w:val="00B51F2F"/>
    <w:rsid w:val="00B54B2E"/>
    <w:rsid w:val="00B55175"/>
    <w:rsid w:val="00B55F47"/>
    <w:rsid w:val="00B5607E"/>
    <w:rsid w:val="00B5699A"/>
    <w:rsid w:val="00B56F5A"/>
    <w:rsid w:val="00B570C2"/>
    <w:rsid w:val="00B60204"/>
    <w:rsid w:val="00B60FBE"/>
    <w:rsid w:val="00B62BFD"/>
    <w:rsid w:val="00B63B9D"/>
    <w:rsid w:val="00B64763"/>
    <w:rsid w:val="00B66795"/>
    <w:rsid w:val="00B667AC"/>
    <w:rsid w:val="00B67384"/>
    <w:rsid w:val="00B70EAD"/>
    <w:rsid w:val="00B7135E"/>
    <w:rsid w:val="00B73A00"/>
    <w:rsid w:val="00B74155"/>
    <w:rsid w:val="00B74DF4"/>
    <w:rsid w:val="00B75AA2"/>
    <w:rsid w:val="00B76A68"/>
    <w:rsid w:val="00B76BEE"/>
    <w:rsid w:val="00B77659"/>
    <w:rsid w:val="00B779FA"/>
    <w:rsid w:val="00B811E7"/>
    <w:rsid w:val="00B82287"/>
    <w:rsid w:val="00B83E71"/>
    <w:rsid w:val="00B84784"/>
    <w:rsid w:val="00B84F22"/>
    <w:rsid w:val="00B85A55"/>
    <w:rsid w:val="00B87350"/>
    <w:rsid w:val="00B87397"/>
    <w:rsid w:val="00B91663"/>
    <w:rsid w:val="00B91FB0"/>
    <w:rsid w:val="00B923BB"/>
    <w:rsid w:val="00B92485"/>
    <w:rsid w:val="00B927CE"/>
    <w:rsid w:val="00B978AA"/>
    <w:rsid w:val="00BA50F0"/>
    <w:rsid w:val="00BA6127"/>
    <w:rsid w:val="00BA69BA"/>
    <w:rsid w:val="00BA6CEF"/>
    <w:rsid w:val="00BB157E"/>
    <w:rsid w:val="00BB15DE"/>
    <w:rsid w:val="00BB2531"/>
    <w:rsid w:val="00BB2E68"/>
    <w:rsid w:val="00BB3352"/>
    <w:rsid w:val="00BB450F"/>
    <w:rsid w:val="00BB4EED"/>
    <w:rsid w:val="00BB65D8"/>
    <w:rsid w:val="00BB6C2A"/>
    <w:rsid w:val="00BC0DD0"/>
    <w:rsid w:val="00BC2946"/>
    <w:rsid w:val="00BC2A59"/>
    <w:rsid w:val="00BC2A84"/>
    <w:rsid w:val="00BC7BBE"/>
    <w:rsid w:val="00BD06C3"/>
    <w:rsid w:val="00BD0E6E"/>
    <w:rsid w:val="00BD1588"/>
    <w:rsid w:val="00BD1D3B"/>
    <w:rsid w:val="00BD4421"/>
    <w:rsid w:val="00BD4543"/>
    <w:rsid w:val="00BD4D00"/>
    <w:rsid w:val="00BD6F65"/>
    <w:rsid w:val="00BD7291"/>
    <w:rsid w:val="00BD768F"/>
    <w:rsid w:val="00BD7765"/>
    <w:rsid w:val="00BE0592"/>
    <w:rsid w:val="00BE1EBB"/>
    <w:rsid w:val="00BE27E4"/>
    <w:rsid w:val="00BE42A2"/>
    <w:rsid w:val="00BE4340"/>
    <w:rsid w:val="00BE447E"/>
    <w:rsid w:val="00BE51B9"/>
    <w:rsid w:val="00BE63C3"/>
    <w:rsid w:val="00BE7DDC"/>
    <w:rsid w:val="00BF050C"/>
    <w:rsid w:val="00BF0614"/>
    <w:rsid w:val="00BF1388"/>
    <w:rsid w:val="00BF1614"/>
    <w:rsid w:val="00BF23D1"/>
    <w:rsid w:val="00BF46A2"/>
    <w:rsid w:val="00BF54AF"/>
    <w:rsid w:val="00BF6FC0"/>
    <w:rsid w:val="00BF701D"/>
    <w:rsid w:val="00BF7599"/>
    <w:rsid w:val="00BF7B69"/>
    <w:rsid w:val="00C00531"/>
    <w:rsid w:val="00C011A5"/>
    <w:rsid w:val="00C03929"/>
    <w:rsid w:val="00C05FE2"/>
    <w:rsid w:val="00C06592"/>
    <w:rsid w:val="00C10340"/>
    <w:rsid w:val="00C10394"/>
    <w:rsid w:val="00C13274"/>
    <w:rsid w:val="00C146F2"/>
    <w:rsid w:val="00C2166C"/>
    <w:rsid w:val="00C21BF1"/>
    <w:rsid w:val="00C2292B"/>
    <w:rsid w:val="00C22FB7"/>
    <w:rsid w:val="00C23B84"/>
    <w:rsid w:val="00C24403"/>
    <w:rsid w:val="00C24FAE"/>
    <w:rsid w:val="00C26162"/>
    <w:rsid w:val="00C26599"/>
    <w:rsid w:val="00C26950"/>
    <w:rsid w:val="00C2772E"/>
    <w:rsid w:val="00C27EBF"/>
    <w:rsid w:val="00C30A6E"/>
    <w:rsid w:val="00C30F52"/>
    <w:rsid w:val="00C31219"/>
    <w:rsid w:val="00C31BF3"/>
    <w:rsid w:val="00C325A4"/>
    <w:rsid w:val="00C33ECB"/>
    <w:rsid w:val="00C36CF2"/>
    <w:rsid w:val="00C3772F"/>
    <w:rsid w:val="00C40AF6"/>
    <w:rsid w:val="00C4116E"/>
    <w:rsid w:val="00C44880"/>
    <w:rsid w:val="00C46B53"/>
    <w:rsid w:val="00C47416"/>
    <w:rsid w:val="00C47BEA"/>
    <w:rsid w:val="00C50871"/>
    <w:rsid w:val="00C50AC9"/>
    <w:rsid w:val="00C50E57"/>
    <w:rsid w:val="00C52911"/>
    <w:rsid w:val="00C52C83"/>
    <w:rsid w:val="00C530A9"/>
    <w:rsid w:val="00C53541"/>
    <w:rsid w:val="00C5394F"/>
    <w:rsid w:val="00C53C60"/>
    <w:rsid w:val="00C541F3"/>
    <w:rsid w:val="00C5576C"/>
    <w:rsid w:val="00C56E9C"/>
    <w:rsid w:val="00C57D79"/>
    <w:rsid w:val="00C61ED9"/>
    <w:rsid w:val="00C62DCE"/>
    <w:rsid w:val="00C64E95"/>
    <w:rsid w:val="00C65228"/>
    <w:rsid w:val="00C67368"/>
    <w:rsid w:val="00C676C2"/>
    <w:rsid w:val="00C71E33"/>
    <w:rsid w:val="00C71F7F"/>
    <w:rsid w:val="00C72F6D"/>
    <w:rsid w:val="00C75A63"/>
    <w:rsid w:val="00C77131"/>
    <w:rsid w:val="00C771D5"/>
    <w:rsid w:val="00C77311"/>
    <w:rsid w:val="00C80849"/>
    <w:rsid w:val="00C81DF5"/>
    <w:rsid w:val="00C8206B"/>
    <w:rsid w:val="00C8760E"/>
    <w:rsid w:val="00C87A18"/>
    <w:rsid w:val="00C93BB2"/>
    <w:rsid w:val="00C93EEB"/>
    <w:rsid w:val="00C95234"/>
    <w:rsid w:val="00C95DC5"/>
    <w:rsid w:val="00C960CA"/>
    <w:rsid w:val="00C969FC"/>
    <w:rsid w:val="00C97F3B"/>
    <w:rsid w:val="00CA0D50"/>
    <w:rsid w:val="00CA16A6"/>
    <w:rsid w:val="00CA1D30"/>
    <w:rsid w:val="00CA279B"/>
    <w:rsid w:val="00CA2B30"/>
    <w:rsid w:val="00CA31C0"/>
    <w:rsid w:val="00CA34DF"/>
    <w:rsid w:val="00CA473C"/>
    <w:rsid w:val="00CA531D"/>
    <w:rsid w:val="00CA675A"/>
    <w:rsid w:val="00CB0300"/>
    <w:rsid w:val="00CB0A68"/>
    <w:rsid w:val="00CB1991"/>
    <w:rsid w:val="00CB1A3E"/>
    <w:rsid w:val="00CB1AA4"/>
    <w:rsid w:val="00CB2B6E"/>
    <w:rsid w:val="00CB3393"/>
    <w:rsid w:val="00CB3781"/>
    <w:rsid w:val="00CB3C2F"/>
    <w:rsid w:val="00CB41A4"/>
    <w:rsid w:val="00CB47F0"/>
    <w:rsid w:val="00CB480C"/>
    <w:rsid w:val="00CB576B"/>
    <w:rsid w:val="00CB6D3B"/>
    <w:rsid w:val="00CC2CC3"/>
    <w:rsid w:val="00CC2DD4"/>
    <w:rsid w:val="00CC33F1"/>
    <w:rsid w:val="00CC3E1B"/>
    <w:rsid w:val="00CC4743"/>
    <w:rsid w:val="00CC5B78"/>
    <w:rsid w:val="00CD0946"/>
    <w:rsid w:val="00CD1140"/>
    <w:rsid w:val="00CD2D3A"/>
    <w:rsid w:val="00CD34A4"/>
    <w:rsid w:val="00CD372D"/>
    <w:rsid w:val="00CD4ACC"/>
    <w:rsid w:val="00CD5016"/>
    <w:rsid w:val="00CD6D06"/>
    <w:rsid w:val="00CE3DE9"/>
    <w:rsid w:val="00CE3FF3"/>
    <w:rsid w:val="00CE412C"/>
    <w:rsid w:val="00CE6240"/>
    <w:rsid w:val="00CE67A7"/>
    <w:rsid w:val="00CF01C4"/>
    <w:rsid w:val="00CF0882"/>
    <w:rsid w:val="00CF1A0B"/>
    <w:rsid w:val="00CF1C4C"/>
    <w:rsid w:val="00CF389A"/>
    <w:rsid w:val="00CF4479"/>
    <w:rsid w:val="00CF44A7"/>
    <w:rsid w:val="00CF5441"/>
    <w:rsid w:val="00CF5A53"/>
    <w:rsid w:val="00CF5CA8"/>
    <w:rsid w:val="00CF73D1"/>
    <w:rsid w:val="00CF7CC3"/>
    <w:rsid w:val="00D00BC1"/>
    <w:rsid w:val="00D01EB1"/>
    <w:rsid w:val="00D04EB5"/>
    <w:rsid w:val="00D05417"/>
    <w:rsid w:val="00D0641B"/>
    <w:rsid w:val="00D0753E"/>
    <w:rsid w:val="00D10A59"/>
    <w:rsid w:val="00D11AC8"/>
    <w:rsid w:val="00D123AB"/>
    <w:rsid w:val="00D12698"/>
    <w:rsid w:val="00D1295F"/>
    <w:rsid w:val="00D131BB"/>
    <w:rsid w:val="00D14A98"/>
    <w:rsid w:val="00D1531B"/>
    <w:rsid w:val="00D1561F"/>
    <w:rsid w:val="00D1596F"/>
    <w:rsid w:val="00D15B6E"/>
    <w:rsid w:val="00D1672F"/>
    <w:rsid w:val="00D16A3F"/>
    <w:rsid w:val="00D16AD1"/>
    <w:rsid w:val="00D1746E"/>
    <w:rsid w:val="00D2031D"/>
    <w:rsid w:val="00D21852"/>
    <w:rsid w:val="00D21C6A"/>
    <w:rsid w:val="00D22593"/>
    <w:rsid w:val="00D229F8"/>
    <w:rsid w:val="00D25A7C"/>
    <w:rsid w:val="00D25FB6"/>
    <w:rsid w:val="00D264F7"/>
    <w:rsid w:val="00D30C51"/>
    <w:rsid w:val="00D31CF0"/>
    <w:rsid w:val="00D3437D"/>
    <w:rsid w:val="00D36A85"/>
    <w:rsid w:val="00D4109A"/>
    <w:rsid w:val="00D41C58"/>
    <w:rsid w:val="00D43FF1"/>
    <w:rsid w:val="00D44F32"/>
    <w:rsid w:val="00D45849"/>
    <w:rsid w:val="00D459BE"/>
    <w:rsid w:val="00D45F32"/>
    <w:rsid w:val="00D464BD"/>
    <w:rsid w:val="00D54688"/>
    <w:rsid w:val="00D550FF"/>
    <w:rsid w:val="00D56122"/>
    <w:rsid w:val="00D56B0E"/>
    <w:rsid w:val="00D5783A"/>
    <w:rsid w:val="00D62325"/>
    <w:rsid w:val="00D62538"/>
    <w:rsid w:val="00D62CA3"/>
    <w:rsid w:val="00D62DE4"/>
    <w:rsid w:val="00D630C6"/>
    <w:rsid w:val="00D63258"/>
    <w:rsid w:val="00D63700"/>
    <w:rsid w:val="00D63B0F"/>
    <w:rsid w:val="00D63BBE"/>
    <w:rsid w:val="00D649EC"/>
    <w:rsid w:val="00D650F2"/>
    <w:rsid w:val="00D661F2"/>
    <w:rsid w:val="00D66F02"/>
    <w:rsid w:val="00D6782B"/>
    <w:rsid w:val="00D67987"/>
    <w:rsid w:val="00D716FB"/>
    <w:rsid w:val="00D72291"/>
    <w:rsid w:val="00D7391E"/>
    <w:rsid w:val="00D74066"/>
    <w:rsid w:val="00D75491"/>
    <w:rsid w:val="00D7585F"/>
    <w:rsid w:val="00D760E6"/>
    <w:rsid w:val="00D7786B"/>
    <w:rsid w:val="00D80731"/>
    <w:rsid w:val="00D808BE"/>
    <w:rsid w:val="00D84170"/>
    <w:rsid w:val="00D87649"/>
    <w:rsid w:val="00D91466"/>
    <w:rsid w:val="00D9521D"/>
    <w:rsid w:val="00D97E9A"/>
    <w:rsid w:val="00DA0693"/>
    <w:rsid w:val="00DA174C"/>
    <w:rsid w:val="00DA1BFF"/>
    <w:rsid w:val="00DA35A0"/>
    <w:rsid w:val="00DA39C4"/>
    <w:rsid w:val="00DA6A6B"/>
    <w:rsid w:val="00DA6CBE"/>
    <w:rsid w:val="00DB085D"/>
    <w:rsid w:val="00DB2E28"/>
    <w:rsid w:val="00DB2E85"/>
    <w:rsid w:val="00DB3EF6"/>
    <w:rsid w:val="00DB551A"/>
    <w:rsid w:val="00DB59A4"/>
    <w:rsid w:val="00DB5B0F"/>
    <w:rsid w:val="00DB6F04"/>
    <w:rsid w:val="00DC0B28"/>
    <w:rsid w:val="00DC0E19"/>
    <w:rsid w:val="00DC11C7"/>
    <w:rsid w:val="00DC2210"/>
    <w:rsid w:val="00DC47CC"/>
    <w:rsid w:val="00DC4B64"/>
    <w:rsid w:val="00DC51F6"/>
    <w:rsid w:val="00DC5553"/>
    <w:rsid w:val="00DC6A2A"/>
    <w:rsid w:val="00DC6FDF"/>
    <w:rsid w:val="00DC740E"/>
    <w:rsid w:val="00DC74F1"/>
    <w:rsid w:val="00DD2E50"/>
    <w:rsid w:val="00DD4E2D"/>
    <w:rsid w:val="00DD54B3"/>
    <w:rsid w:val="00DD6D5A"/>
    <w:rsid w:val="00DD775B"/>
    <w:rsid w:val="00DE025C"/>
    <w:rsid w:val="00DE11ED"/>
    <w:rsid w:val="00DE225F"/>
    <w:rsid w:val="00DE33C3"/>
    <w:rsid w:val="00DE795B"/>
    <w:rsid w:val="00DF11BD"/>
    <w:rsid w:val="00DF1648"/>
    <w:rsid w:val="00DF3B40"/>
    <w:rsid w:val="00DF4468"/>
    <w:rsid w:val="00DF4FA1"/>
    <w:rsid w:val="00DF5CAE"/>
    <w:rsid w:val="00DF7E5C"/>
    <w:rsid w:val="00E00254"/>
    <w:rsid w:val="00E018A5"/>
    <w:rsid w:val="00E02B3D"/>
    <w:rsid w:val="00E02F8C"/>
    <w:rsid w:val="00E03D6B"/>
    <w:rsid w:val="00E05575"/>
    <w:rsid w:val="00E07D44"/>
    <w:rsid w:val="00E13400"/>
    <w:rsid w:val="00E14775"/>
    <w:rsid w:val="00E16265"/>
    <w:rsid w:val="00E165E2"/>
    <w:rsid w:val="00E167C8"/>
    <w:rsid w:val="00E16A42"/>
    <w:rsid w:val="00E16A68"/>
    <w:rsid w:val="00E229A1"/>
    <w:rsid w:val="00E231D5"/>
    <w:rsid w:val="00E23DBF"/>
    <w:rsid w:val="00E24062"/>
    <w:rsid w:val="00E25D5E"/>
    <w:rsid w:val="00E26A90"/>
    <w:rsid w:val="00E2717B"/>
    <w:rsid w:val="00E30F90"/>
    <w:rsid w:val="00E30FF8"/>
    <w:rsid w:val="00E31551"/>
    <w:rsid w:val="00E31760"/>
    <w:rsid w:val="00E325F9"/>
    <w:rsid w:val="00E32837"/>
    <w:rsid w:val="00E32BA9"/>
    <w:rsid w:val="00E34C07"/>
    <w:rsid w:val="00E35639"/>
    <w:rsid w:val="00E35BF6"/>
    <w:rsid w:val="00E370BF"/>
    <w:rsid w:val="00E374B4"/>
    <w:rsid w:val="00E37D82"/>
    <w:rsid w:val="00E4037B"/>
    <w:rsid w:val="00E41266"/>
    <w:rsid w:val="00E41A09"/>
    <w:rsid w:val="00E41E4E"/>
    <w:rsid w:val="00E42E82"/>
    <w:rsid w:val="00E4347B"/>
    <w:rsid w:val="00E4375C"/>
    <w:rsid w:val="00E43E40"/>
    <w:rsid w:val="00E44693"/>
    <w:rsid w:val="00E44AC4"/>
    <w:rsid w:val="00E469CD"/>
    <w:rsid w:val="00E46A78"/>
    <w:rsid w:val="00E46B7B"/>
    <w:rsid w:val="00E47E8F"/>
    <w:rsid w:val="00E508B9"/>
    <w:rsid w:val="00E53054"/>
    <w:rsid w:val="00E53371"/>
    <w:rsid w:val="00E53B8E"/>
    <w:rsid w:val="00E5446B"/>
    <w:rsid w:val="00E5648E"/>
    <w:rsid w:val="00E56ED3"/>
    <w:rsid w:val="00E572D8"/>
    <w:rsid w:val="00E57859"/>
    <w:rsid w:val="00E60DB7"/>
    <w:rsid w:val="00E61038"/>
    <w:rsid w:val="00E64712"/>
    <w:rsid w:val="00E65969"/>
    <w:rsid w:val="00E66564"/>
    <w:rsid w:val="00E67234"/>
    <w:rsid w:val="00E67544"/>
    <w:rsid w:val="00E7080D"/>
    <w:rsid w:val="00E74DA1"/>
    <w:rsid w:val="00E75424"/>
    <w:rsid w:val="00E75755"/>
    <w:rsid w:val="00E75FC4"/>
    <w:rsid w:val="00E77235"/>
    <w:rsid w:val="00E810EE"/>
    <w:rsid w:val="00E813A5"/>
    <w:rsid w:val="00E84A11"/>
    <w:rsid w:val="00E854EB"/>
    <w:rsid w:val="00E869C9"/>
    <w:rsid w:val="00E878FA"/>
    <w:rsid w:val="00E90144"/>
    <w:rsid w:val="00E91016"/>
    <w:rsid w:val="00E91452"/>
    <w:rsid w:val="00E92BEE"/>
    <w:rsid w:val="00E92CE8"/>
    <w:rsid w:val="00E9448E"/>
    <w:rsid w:val="00E94C85"/>
    <w:rsid w:val="00E95CDF"/>
    <w:rsid w:val="00E96D72"/>
    <w:rsid w:val="00E96DE1"/>
    <w:rsid w:val="00E97380"/>
    <w:rsid w:val="00E9778D"/>
    <w:rsid w:val="00E97E5C"/>
    <w:rsid w:val="00EA01DF"/>
    <w:rsid w:val="00EA156F"/>
    <w:rsid w:val="00EA3251"/>
    <w:rsid w:val="00EA4ACE"/>
    <w:rsid w:val="00EA61E0"/>
    <w:rsid w:val="00EA6E91"/>
    <w:rsid w:val="00EA754B"/>
    <w:rsid w:val="00EA77CC"/>
    <w:rsid w:val="00EA7AA5"/>
    <w:rsid w:val="00EA7C71"/>
    <w:rsid w:val="00EB030E"/>
    <w:rsid w:val="00EB0D3E"/>
    <w:rsid w:val="00EB15F1"/>
    <w:rsid w:val="00EB2A7C"/>
    <w:rsid w:val="00EB3352"/>
    <w:rsid w:val="00EB3B0F"/>
    <w:rsid w:val="00EB3FFC"/>
    <w:rsid w:val="00EB40CB"/>
    <w:rsid w:val="00EB41DA"/>
    <w:rsid w:val="00EB4638"/>
    <w:rsid w:val="00EB595A"/>
    <w:rsid w:val="00EC03BF"/>
    <w:rsid w:val="00EC04D5"/>
    <w:rsid w:val="00EC080A"/>
    <w:rsid w:val="00EC1A8B"/>
    <w:rsid w:val="00EC2D42"/>
    <w:rsid w:val="00EC32F2"/>
    <w:rsid w:val="00EC5CCF"/>
    <w:rsid w:val="00ED0F1D"/>
    <w:rsid w:val="00ED296C"/>
    <w:rsid w:val="00ED673F"/>
    <w:rsid w:val="00ED6865"/>
    <w:rsid w:val="00ED6ADD"/>
    <w:rsid w:val="00EE157E"/>
    <w:rsid w:val="00EE1ECB"/>
    <w:rsid w:val="00EE291B"/>
    <w:rsid w:val="00EE3E97"/>
    <w:rsid w:val="00EE5DCB"/>
    <w:rsid w:val="00EE65CB"/>
    <w:rsid w:val="00EE7655"/>
    <w:rsid w:val="00EF022F"/>
    <w:rsid w:val="00EF0BB8"/>
    <w:rsid w:val="00EF0C2C"/>
    <w:rsid w:val="00EF1003"/>
    <w:rsid w:val="00EF28E2"/>
    <w:rsid w:val="00EF2BE1"/>
    <w:rsid w:val="00EF4938"/>
    <w:rsid w:val="00EF5565"/>
    <w:rsid w:val="00EF623A"/>
    <w:rsid w:val="00EF70F0"/>
    <w:rsid w:val="00EF7FC4"/>
    <w:rsid w:val="00F0039F"/>
    <w:rsid w:val="00F0173D"/>
    <w:rsid w:val="00F028C9"/>
    <w:rsid w:val="00F03B0B"/>
    <w:rsid w:val="00F058DE"/>
    <w:rsid w:val="00F0762A"/>
    <w:rsid w:val="00F10B87"/>
    <w:rsid w:val="00F11486"/>
    <w:rsid w:val="00F11BB2"/>
    <w:rsid w:val="00F11BCF"/>
    <w:rsid w:val="00F123B7"/>
    <w:rsid w:val="00F13C73"/>
    <w:rsid w:val="00F145A3"/>
    <w:rsid w:val="00F14883"/>
    <w:rsid w:val="00F1572E"/>
    <w:rsid w:val="00F1740D"/>
    <w:rsid w:val="00F2247C"/>
    <w:rsid w:val="00F22B0E"/>
    <w:rsid w:val="00F25548"/>
    <w:rsid w:val="00F2668D"/>
    <w:rsid w:val="00F2695D"/>
    <w:rsid w:val="00F27A70"/>
    <w:rsid w:val="00F302F4"/>
    <w:rsid w:val="00F3171C"/>
    <w:rsid w:val="00F33DA4"/>
    <w:rsid w:val="00F35D7C"/>
    <w:rsid w:val="00F36674"/>
    <w:rsid w:val="00F369EC"/>
    <w:rsid w:val="00F40E0F"/>
    <w:rsid w:val="00F40EAB"/>
    <w:rsid w:val="00F4176E"/>
    <w:rsid w:val="00F428F9"/>
    <w:rsid w:val="00F45711"/>
    <w:rsid w:val="00F526FF"/>
    <w:rsid w:val="00F5331D"/>
    <w:rsid w:val="00F53B13"/>
    <w:rsid w:val="00F5427D"/>
    <w:rsid w:val="00F5705E"/>
    <w:rsid w:val="00F5742E"/>
    <w:rsid w:val="00F605C7"/>
    <w:rsid w:val="00F64A70"/>
    <w:rsid w:val="00F65FA8"/>
    <w:rsid w:val="00F66306"/>
    <w:rsid w:val="00F7120B"/>
    <w:rsid w:val="00F71D25"/>
    <w:rsid w:val="00F723A7"/>
    <w:rsid w:val="00F7478D"/>
    <w:rsid w:val="00F74A74"/>
    <w:rsid w:val="00F74A90"/>
    <w:rsid w:val="00F7531F"/>
    <w:rsid w:val="00F767CF"/>
    <w:rsid w:val="00F77376"/>
    <w:rsid w:val="00F77EDA"/>
    <w:rsid w:val="00F8110D"/>
    <w:rsid w:val="00F81B77"/>
    <w:rsid w:val="00F8207E"/>
    <w:rsid w:val="00F8238C"/>
    <w:rsid w:val="00F8569C"/>
    <w:rsid w:val="00F8639D"/>
    <w:rsid w:val="00F863DE"/>
    <w:rsid w:val="00F87F31"/>
    <w:rsid w:val="00F904C9"/>
    <w:rsid w:val="00F91D86"/>
    <w:rsid w:val="00F926B0"/>
    <w:rsid w:val="00F92CCC"/>
    <w:rsid w:val="00F92FB0"/>
    <w:rsid w:val="00F94B98"/>
    <w:rsid w:val="00F951F6"/>
    <w:rsid w:val="00F95FDD"/>
    <w:rsid w:val="00F9610B"/>
    <w:rsid w:val="00F9620A"/>
    <w:rsid w:val="00F96C57"/>
    <w:rsid w:val="00F97DFE"/>
    <w:rsid w:val="00FA0A68"/>
    <w:rsid w:val="00FA175D"/>
    <w:rsid w:val="00FA194D"/>
    <w:rsid w:val="00FA2A29"/>
    <w:rsid w:val="00FA6059"/>
    <w:rsid w:val="00FA68D4"/>
    <w:rsid w:val="00FA6DCC"/>
    <w:rsid w:val="00FB1D70"/>
    <w:rsid w:val="00FB4AE2"/>
    <w:rsid w:val="00FB527D"/>
    <w:rsid w:val="00FB6570"/>
    <w:rsid w:val="00FB6AFD"/>
    <w:rsid w:val="00FC06BB"/>
    <w:rsid w:val="00FC15B6"/>
    <w:rsid w:val="00FC210D"/>
    <w:rsid w:val="00FC44B6"/>
    <w:rsid w:val="00FC5A8F"/>
    <w:rsid w:val="00FC62F1"/>
    <w:rsid w:val="00FC6C1A"/>
    <w:rsid w:val="00FC6D8C"/>
    <w:rsid w:val="00FC705F"/>
    <w:rsid w:val="00FC7B7A"/>
    <w:rsid w:val="00FD0C8B"/>
    <w:rsid w:val="00FD201B"/>
    <w:rsid w:val="00FD3566"/>
    <w:rsid w:val="00FD3AED"/>
    <w:rsid w:val="00FD6A1D"/>
    <w:rsid w:val="00FD73B1"/>
    <w:rsid w:val="00FD751B"/>
    <w:rsid w:val="00FE089D"/>
    <w:rsid w:val="00FE12D9"/>
    <w:rsid w:val="00FE1C9E"/>
    <w:rsid w:val="00FE200E"/>
    <w:rsid w:val="00FE5770"/>
    <w:rsid w:val="00FF0137"/>
    <w:rsid w:val="00FF0D45"/>
    <w:rsid w:val="00FF1243"/>
    <w:rsid w:val="00FF126D"/>
    <w:rsid w:val="00FF15C2"/>
    <w:rsid w:val="00FF18CB"/>
    <w:rsid w:val="00FF73DA"/>
    <w:rsid w:val="0473976F"/>
    <w:rsid w:val="0B7A0C7B"/>
    <w:rsid w:val="103B18B0"/>
    <w:rsid w:val="11F60709"/>
    <w:rsid w:val="1211366F"/>
    <w:rsid w:val="170C9655"/>
    <w:rsid w:val="183314AD"/>
    <w:rsid w:val="1AFD6EE0"/>
    <w:rsid w:val="1C979463"/>
    <w:rsid w:val="1EE6C848"/>
    <w:rsid w:val="23D628F6"/>
    <w:rsid w:val="25B57B8B"/>
    <w:rsid w:val="2873DFBB"/>
    <w:rsid w:val="292BA366"/>
    <w:rsid w:val="2B307E93"/>
    <w:rsid w:val="2C634428"/>
    <w:rsid w:val="2F6FB8BC"/>
    <w:rsid w:val="318CBE99"/>
    <w:rsid w:val="319DF135"/>
    <w:rsid w:val="3353C41B"/>
    <w:rsid w:val="371665A9"/>
    <w:rsid w:val="41124D57"/>
    <w:rsid w:val="47818EDB"/>
    <w:rsid w:val="4791EE54"/>
    <w:rsid w:val="4AE28084"/>
    <w:rsid w:val="504D3D9A"/>
    <w:rsid w:val="55BA6521"/>
    <w:rsid w:val="60C9E6BE"/>
    <w:rsid w:val="6358C906"/>
    <w:rsid w:val="66D37847"/>
    <w:rsid w:val="686F48A8"/>
    <w:rsid w:val="7062D94B"/>
    <w:rsid w:val="71F8A94C"/>
    <w:rsid w:val="72235026"/>
    <w:rsid w:val="762D7313"/>
    <w:rsid w:val="788D59F8"/>
    <w:rsid w:val="7BA5B839"/>
    <w:rsid w:val="7EFC9B7C"/>
    <w:rsid w:val="7FCEC0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E108"/>
  <w15:chartTrackingRefBased/>
  <w15:docId w15:val="{D98E471A-5652-481A-9923-D601CF65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10A"/>
    <w:rPr>
      <w:rFonts w:ascii="Verdana" w:hAnsi="Verdana"/>
    </w:rPr>
  </w:style>
  <w:style w:type="paragraph" w:styleId="Heading1">
    <w:name w:val="heading 1"/>
    <w:basedOn w:val="Normal"/>
    <w:next w:val="Normal"/>
    <w:link w:val="Heading1Char"/>
    <w:uiPriority w:val="9"/>
    <w:qFormat/>
    <w:rsid w:val="00555AB4"/>
    <w:pPr>
      <w:keepNext/>
      <w:keepLines/>
      <w:spacing w:before="240" w:after="0"/>
      <w:outlineLvl w:val="0"/>
    </w:pPr>
    <w:rPr>
      <w:rFonts w:eastAsiaTheme="majorEastAsia" w:cstheme="majorBidi"/>
      <w:b/>
      <w:bCs/>
      <w:color w:val="3E5C60"/>
      <w:kern w:val="0"/>
      <w:sz w:val="28"/>
      <w:szCs w:val="32"/>
      <w:lang w:val="en-CA"/>
      <w14:ligatures w14:val="none"/>
    </w:rPr>
  </w:style>
  <w:style w:type="paragraph" w:styleId="Heading2">
    <w:name w:val="heading 2"/>
    <w:basedOn w:val="Heading1"/>
    <w:next w:val="Normal"/>
    <w:link w:val="Heading2Char"/>
    <w:uiPriority w:val="9"/>
    <w:unhideWhenUsed/>
    <w:qFormat/>
    <w:rsid w:val="00555AB4"/>
    <w:pPr>
      <w:numPr>
        <w:ilvl w:val="1"/>
      </w:numPr>
      <w:outlineLvl w:val="1"/>
    </w:pPr>
    <w:rPr>
      <w:sz w:val="24"/>
      <w:szCs w:val="28"/>
    </w:rPr>
  </w:style>
  <w:style w:type="paragraph" w:styleId="Heading3">
    <w:name w:val="heading 3"/>
    <w:basedOn w:val="Heading2"/>
    <w:next w:val="Normal"/>
    <w:link w:val="Heading3Char"/>
    <w:uiPriority w:val="9"/>
    <w:unhideWhenUsed/>
    <w:qFormat/>
    <w:rsid w:val="00555AB4"/>
    <w:pPr>
      <w:numPr>
        <w:ilvl w:val="2"/>
      </w:numPr>
      <w:outlineLvl w:val="2"/>
    </w:pPr>
    <w:rPr>
      <w:sz w:val="22"/>
    </w:rPr>
  </w:style>
  <w:style w:type="paragraph" w:styleId="Heading4">
    <w:name w:val="heading 4"/>
    <w:basedOn w:val="Normal"/>
    <w:next w:val="Normal"/>
    <w:link w:val="Heading4Char"/>
    <w:uiPriority w:val="9"/>
    <w:unhideWhenUsed/>
    <w:qFormat/>
    <w:rsid w:val="00555AB4"/>
    <w:pPr>
      <w:keepNext/>
      <w:keepLines/>
      <w:spacing w:before="40" w:after="0"/>
      <w:outlineLvl w:val="3"/>
    </w:pPr>
    <w:rPr>
      <w:rFonts w:eastAsiaTheme="majorEastAsia" w:cstheme="majorBidi"/>
      <w:b/>
      <w:i/>
      <w:iCs/>
      <w:color w:val="3E5C60"/>
    </w:rPr>
  </w:style>
  <w:style w:type="paragraph" w:styleId="Heading5">
    <w:name w:val="heading 5"/>
    <w:basedOn w:val="Normal"/>
    <w:next w:val="Normal"/>
    <w:link w:val="Heading5Char"/>
    <w:uiPriority w:val="9"/>
    <w:unhideWhenUsed/>
    <w:qFormat/>
    <w:rsid w:val="00555AB4"/>
    <w:pPr>
      <w:keepNext/>
      <w:keepLines/>
      <w:spacing w:before="40" w:after="0"/>
      <w:outlineLvl w:val="4"/>
    </w:pPr>
    <w:rPr>
      <w:rFonts w:eastAsiaTheme="majorEastAsia" w:cstheme="majorBidi"/>
      <w:i/>
      <w:color w:val="3E5C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C02B4"/>
    <w:pPr>
      <w:ind w:left="720"/>
      <w:contextualSpacing/>
    </w:pPr>
  </w:style>
  <w:style w:type="table" w:styleId="GridTable1Light-Accent1">
    <w:name w:val="Grid Table 1 Light Accent 1"/>
    <w:basedOn w:val="TableNormal"/>
    <w:uiPriority w:val="46"/>
    <w:rsid w:val="00025FF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D34D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GridTable1Light-Accent2">
    <w:name w:val="Grid Table 1 Light Accent 2"/>
    <w:basedOn w:val="TableNormal"/>
    <w:uiPriority w:val="46"/>
    <w:rsid w:val="00F65FA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Default">
    <w:name w:val="Default"/>
    <w:rsid w:val="00E67544"/>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basedOn w:val="DefaultParagraphFont"/>
    <w:link w:val="ListParagraph"/>
    <w:uiPriority w:val="34"/>
    <w:rsid w:val="00F91D86"/>
  </w:style>
  <w:style w:type="paragraph" w:styleId="z-TopofForm">
    <w:name w:val="HTML Top of Form"/>
    <w:basedOn w:val="Normal"/>
    <w:next w:val="Normal"/>
    <w:link w:val="z-TopofFormChar"/>
    <w:hidden/>
    <w:uiPriority w:val="99"/>
    <w:semiHidden/>
    <w:unhideWhenUsed/>
    <w:rsid w:val="00963D24"/>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963D24"/>
    <w:rPr>
      <w:rFonts w:ascii="Arial" w:eastAsia="Times New Roman" w:hAnsi="Arial" w:cs="Arial"/>
      <w:vanish/>
      <w:kern w:val="0"/>
      <w:sz w:val="16"/>
      <w:szCs w:val="16"/>
      <w:lang w:eastAsia="en-GB"/>
      <w14:ligatures w14:val="none"/>
    </w:rPr>
  </w:style>
  <w:style w:type="character" w:styleId="CommentReference">
    <w:name w:val="annotation reference"/>
    <w:basedOn w:val="DefaultParagraphFont"/>
    <w:uiPriority w:val="99"/>
    <w:semiHidden/>
    <w:unhideWhenUsed/>
    <w:rsid w:val="00DC0E19"/>
    <w:rPr>
      <w:sz w:val="16"/>
      <w:szCs w:val="16"/>
    </w:rPr>
  </w:style>
  <w:style w:type="paragraph" w:styleId="CommentText">
    <w:name w:val="annotation text"/>
    <w:basedOn w:val="Normal"/>
    <w:link w:val="CommentTextChar"/>
    <w:uiPriority w:val="99"/>
    <w:unhideWhenUsed/>
    <w:rsid w:val="00DC0E19"/>
    <w:pPr>
      <w:spacing w:after="0" w:line="240" w:lineRule="auto"/>
    </w:pPr>
    <w:rPr>
      <w:rFonts w:eastAsia="Times New Roman" w:cstheme="minorHAnsi"/>
      <w:kern w:val="0"/>
      <w:sz w:val="20"/>
      <w:szCs w:val="20"/>
      <w:lang w:val="en-CA" w:eastAsia="en-GB"/>
      <w14:ligatures w14:val="none"/>
    </w:rPr>
  </w:style>
  <w:style w:type="character" w:customStyle="1" w:styleId="CommentTextChar">
    <w:name w:val="Comment Text Char"/>
    <w:basedOn w:val="DefaultParagraphFont"/>
    <w:link w:val="CommentText"/>
    <w:uiPriority w:val="99"/>
    <w:rsid w:val="00DC0E19"/>
    <w:rPr>
      <w:rFonts w:eastAsia="Times New Roman" w:cstheme="minorHAnsi"/>
      <w:kern w:val="0"/>
      <w:sz w:val="20"/>
      <w:szCs w:val="20"/>
      <w:lang w:val="en-CA" w:eastAsia="en-GB"/>
      <w14:ligatures w14:val="none"/>
    </w:rPr>
  </w:style>
  <w:style w:type="paragraph" w:styleId="Header">
    <w:name w:val="header"/>
    <w:basedOn w:val="Normal"/>
    <w:link w:val="HeaderChar"/>
    <w:uiPriority w:val="99"/>
    <w:unhideWhenUsed/>
    <w:rsid w:val="004B7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6B9"/>
  </w:style>
  <w:style w:type="paragraph" w:styleId="Footer">
    <w:name w:val="footer"/>
    <w:basedOn w:val="Normal"/>
    <w:link w:val="FooterChar"/>
    <w:uiPriority w:val="99"/>
    <w:unhideWhenUsed/>
    <w:rsid w:val="004B7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6B9"/>
  </w:style>
  <w:style w:type="paragraph" w:styleId="CommentSubject">
    <w:name w:val="annotation subject"/>
    <w:basedOn w:val="CommentText"/>
    <w:next w:val="CommentText"/>
    <w:link w:val="CommentSubjectChar"/>
    <w:uiPriority w:val="99"/>
    <w:semiHidden/>
    <w:unhideWhenUsed/>
    <w:rsid w:val="005043EE"/>
    <w:pPr>
      <w:spacing w:after="160"/>
    </w:pPr>
    <w:rPr>
      <w:rFonts w:eastAsiaTheme="minorHAnsi" w:cstheme="minorBidi"/>
      <w:b/>
      <w:bCs/>
      <w:kern w:val="2"/>
      <w:lang w:val="en-GB" w:eastAsia="en-US"/>
      <w14:ligatures w14:val="standardContextual"/>
    </w:rPr>
  </w:style>
  <w:style w:type="character" w:customStyle="1" w:styleId="CommentSubjectChar">
    <w:name w:val="Comment Subject Char"/>
    <w:basedOn w:val="CommentTextChar"/>
    <w:link w:val="CommentSubject"/>
    <w:uiPriority w:val="99"/>
    <w:semiHidden/>
    <w:rsid w:val="005043EE"/>
    <w:rPr>
      <w:rFonts w:eastAsia="Times New Roman" w:cstheme="minorHAnsi"/>
      <w:b/>
      <w:bCs/>
      <w:kern w:val="0"/>
      <w:sz w:val="20"/>
      <w:szCs w:val="20"/>
      <w:lang w:val="en-CA" w:eastAsia="en-GB"/>
      <w14:ligatures w14:val="none"/>
    </w:rPr>
  </w:style>
  <w:style w:type="character" w:customStyle="1" w:styleId="cf01">
    <w:name w:val="cf01"/>
    <w:basedOn w:val="DefaultParagraphFont"/>
    <w:rsid w:val="00AA25D6"/>
    <w:rPr>
      <w:rFonts w:ascii="Segoe UI" w:hAnsi="Segoe UI" w:cs="Segoe UI" w:hint="default"/>
      <w:sz w:val="18"/>
      <w:szCs w:val="18"/>
    </w:rPr>
  </w:style>
  <w:style w:type="paragraph" w:customStyle="1" w:styleId="pf0">
    <w:name w:val="pf0"/>
    <w:basedOn w:val="Normal"/>
    <w:rsid w:val="00AA25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555AB4"/>
    <w:rPr>
      <w:rFonts w:ascii="Verdana" w:eastAsiaTheme="majorEastAsia" w:hAnsi="Verdana" w:cstheme="majorBidi"/>
      <w:b/>
      <w:bCs/>
      <w:color w:val="3E5C60"/>
      <w:kern w:val="0"/>
      <w:sz w:val="28"/>
      <w:szCs w:val="32"/>
      <w:lang w:val="en-CA"/>
      <w14:ligatures w14:val="none"/>
    </w:rPr>
  </w:style>
  <w:style w:type="character" w:customStyle="1" w:styleId="Heading2Char">
    <w:name w:val="Heading 2 Char"/>
    <w:basedOn w:val="DefaultParagraphFont"/>
    <w:link w:val="Heading2"/>
    <w:uiPriority w:val="9"/>
    <w:rsid w:val="00555AB4"/>
    <w:rPr>
      <w:rFonts w:ascii="Verdana" w:eastAsiaTheme="majorEastAsia" w:hAnsi="Verdana" w:cstheme="majorBidi"/>
      <w:b/>
      <w:bCs/>
      <w:color w:val="3E5C60"/>
      <w:kern w:val="0"/>
      <w:sz w:val="24"/>
      <w:szCs w:val="28"/>
      <w:lang w:val="en-CA"/>
      <w14:ligatures w14:val="none"/>
    </w:rPr>
  </w:style>
  <w:style w:type="character" w:customStyle="1" w:styleId="Heading3Char">
    <w:name w:val="Heading 3 Char"/>
    <w:basedOn w:val="DefaultParagraphFont"/>
    <w:link w:val="Heading3"/>
    <w:uiPriority w:val="9"/>
    <w:rsid w:val="00555AB4"/>
    <w:rPr>
      <w:rFonts w:ascii="Verdana" w:eastAsiaTheme="majorEastAsia" w:hAnsi="Verdana" w:cstheme="majorBidi"/>
      <w:b/>
      <w:bCs/>
      <w:color w:val="3E5C60"/>
      <w:kern w:val="0"/>
      <w:szCs w:val="28"/>
      <w:lang w:val="en-CA"/>
      <w14:ligatures w14:val="none"/>
    </w:rPr>
  </w:style>
  <w:style w:type="character" w:styleId="Hyperlink">
    <w:name w:val="Hyperlink"/>
    <w:basedOn w:val="DefaultParagraphFont"/>
    <w:uiPriority w:val="99"/>
    <w:unhideWhenUsed/>
    <w:rsid w:val="00641D27"/>
    <w:rPr>
      <w:color w:val="0563C1" w:themeColor="hyperlink"/>
      <w:u w:val="single"/>
    </w:rPr>
  </w:style>
  <w:style w:type="paragraph" w:styleId="Revision">
    <w:name w:val="Revision"/>
    <w:hidden/>
    <w:uiPriority w:val="99"/>
    <w:semiHidden/>
    <w:rsid w:val="00243CE1"/>
    <w:pPr>
      <w:spacing w:after="0" w:line="240" w:lineRule="auto"/>
    </w:pPr>
  </w:style>
  <w:style w:type="paragraph" w:styleId="FootnoteText">
    <w:name w:val="footnote text"/>
    <w:basedOn w:val="Normal"/>
    <w:link w:val="FootnoteTextChar"/>
    <w:uiPriority w:val="99"/>
    <w:semiHidden/>
    <w:unhideWhenUsed/>
    <w:rsid w:val="001A71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197"/>
    <w:rPr>
      <w:sz w:val="20"/>
      <w:szCs w:val="20"/>
    </w:rPr>
  </w:style>
  <w:style w:type="character" w:styleId="FootnoteReference">
    <w:name w:val="footnote reference"/>
    <w:basedOn w:val="DefaultParagraphFont"/>
    <w:uiPriority w:val="99"/>
    <w:semiHidden/>
    <w:unhideWhenUsed/>
    <w:rsid w:val="001A7197"/>
    <w:rPr>
      <w:vertAlign w:val="superscript"/>
    </w:rPr>
  </w:style>
  <w:style w:type="character" w:styleId="UnresolvedMention">
    <w:name w:val="Unresolved Mention"/>
    <w:basedOn w:val="DefaultParagraphFont"/>
    <w:uiPriority w:val="99"/>
    <w:semiHidden/>
    <w:unhideWhenUsed/>
    <w:rsid w:val="006A1852"/>
    <w:rPr>
      <w:color w:val="605E5C"/>
      <w:shd w:val="clear" w:color="auto" w:fill="E1DFDD"/>
    </w:rPr>
  </w:style>
  <w:style w:type="character" w:styleId="FollowedHyperlink">
    <w:name w:val="FollowedHyperlink"/>
    <w:basedOn w:val="DefaultParagraphFont"/>
    <w:uiPriority w:val="99"/>
    <w:semiHidden/>
    <w:unhideWhenUsed/>
    <w:rsid w:val="00BE7DDC"/>
    <w:rPr>
      <w:color w:val="954F72" w:themeColor="followedHyperlink"/>
      <w:u w:val="single"/>
    </w:rPr>
  </w:style>
  <w:style w:type="table" w:styleId="GridTable5Dark-Accent1">
    <w:name w:val="Grid Table 5 Dark Accent 1"/>
    <w:basedOn w:val="TableNormal"/>
    <w:uiPriority w:val="50"/>
    <w:rsid w:val="000B54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
    <w:name w:val="Grid Table 5 Dark"/>
    <w:basedOn w:val="TableNormal"/>
    <w:uiPriority w:val="50"/>
    <w:rsid w:val="000B54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6">
    <w:name w:val="Grid Table 4 Accent 6"/>
    <w:basedOn w:val="TableNormal"/>
    <w:uiPriority w:val="49"/>
    <w:rsid w:val="000B542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0B542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2">
    <w:name w:val="Grid Table 5 Dark Accent 2"/>
    <w:basedOn w:val="TableNormal"/>
    <w:uiPriority w:val="50"/>
    <w:rsid w:val="000B54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B54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7Colorful-Accent2">
    <w:name w:val="Grid Table 7 Colorful Accent 2"/>
    <w:basedOn w:val="TableNormal"/>
    <w:uiPriority w:val="52"/>
    <w:rsid w:val="000B542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1">
    <w:name w:val="Grid Table 7 Colorful Accent 1"/>
    <w:basedOn w:val="TableNormal"/>
    <w:uiPriority w:val="52"/>
    <w:rsid w:val="000B542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Accent4">
    <w:name w:val="Grid Table 6 Colorful Accent 4"/>
    <w:basedOn w:val="TableNormal"/>
    <w:uiPriority w:val="51"/>
    <w:rsid w:val="000B542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2">
    <w:name w:val="List Table 4 Accent 2"/>
    <w:basedOn w:val="TableNormal"/>
    <w:uiPriority w:val="49"/>
    <w:rsid w:val="000B542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2">
    <w:name w:val="Grid Table 3 Accent 2"/>
    <w:basedOn w:val="TableNormal"/>
    <w:uiPriority w:val="48"/>
    <w:rsid w:val="0052529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character" w:customStyle="1" w:styleId="Heading4Char">
    <w:name w:val="Heading 4 Char"/>
    <w:basedOn w:val="DefaultParagraphFont"/>
    <w:link w:val="Heading4"/>
    <w:uiPriority w:val="9"/>
    <w:rsid w:val="00555AB4"/>
    <w:rPr>
      <w:rFonts w:ascii="Verdana" w:eastAsiaTheme="majorEastAsia" w:hAnsi="Verdana" w:cstheme="majorBidi"/>
      <w:b/>
      <w:i/>
      <w:iCs/>
      <w:color w:val="3E5C60"/>
    </w:rPr>
  </w:style>
  <w:style w:type="character" w:customStyle="1" w:styleId="Heading5Char">
    <w:name w:val="Heading 5 Char"/>
    <w:basedOn w:val="DefaultParagraphFont"/>
    <w:link w:val="Heading5"/>
    <w:uiPriority w:val="9"/>
    <w:rsid w:val="00555AB4"/>
    <w:rPr>
      <w:rFonts w:ascii="Verdana" w:eastAsiaTheme="majorEastAsia" w:hAnsi="Verdana" w:cstheme="majorBidi"/>
      <w:i/>
      <w:color w:val="3E5C60"/>
    </w:rPr>
  </w:style>
  <w:style w:type="character" w:styleId="Mention">
    <w:name w:val="Mention"/>
    <w:basedOn w:val="DefaultParagraphFont"/>
    <w:uiPriority w:val="99"/>
    <w:unhideWhenUsed/>
    <w:rsid w:val="005165A8"/>
    <w:rPr>
      <w:color w:val="2B579A"/>
      <w:shd w:val="clear" w:color="auto" w:fill="E1DFDD"/>
    </w:rPr>
  </w:style>
  <w:style w:type="paragraph" w:styleId="TOC1">
    <w:name w:val="toc 1"/>
    <w:basedOn w:val="Normal"/>
    <w:next w:val="Normal"/>
    <w:autoRedefine/>
    <w:uiPriority w:val="39"/>
    <w:unhideWhenUsed/>
    <w:rsid w:val="00E13400"/>
    <w:pPr>
      <w:tabs>
        <w:tab w:val="right" w:leader="dot" w:pos="9016"/>
      </w:tabs>
      <w:spacing w:after="100"/>
    </w:pPr>
  </w:style>
  <w:style w:type="paragraph" w:styleId="TOC2">
    <w:name w:val="toc 2"/>
    <w:basedOn w:val="Normal"/>
    <w:next w:val="Normal"/>
    <w:autoRedefine/>
    <w:uiPriority w:val="39"/>
    <w:unhideWhenUsed/>
    <w:rsid w:val="00DC6A2A"/>
    <w:pPr>
      <w:spacing w:after="100"/>
      <w:ind w:left="220"/>
    </w:pPr>
  </w:style>
  <w:style w:type="paragraph" w:styleId="TOC3">
    <w:name w:val="toc 3"/>
    <w:basedOn w:val="Normal"/>
    <w:next w:val="Normal"/>
    <w:autoRedefine/>
    <w:uiPriority w:val="39"/>
    <w:unhideWhenUsed/>
    <w:rsid w:val="00D649EC"/>
    <w:pPr>
      <w:tabs>
        <w:tab w:val="right" w:leader="dot" w:pos="9016"/>
      </w:tabs>
      <w:spacing w:after="100"/>
      <w:ind w:left="440"/>
    </w:pPr>
  </w:style>
  <w:style w:type="paragraph" w:styleId="TOCHeading">
    <w:name w:val="TOC Heading"/>
    <w:basedOn w:val="Heading1"/>
    <w:next w:val="Normal"/>
    <w:uiPriority w:val="39"/>
    <w:unhideWhenUsed/>
    <w:qFormat/>
    <w:rsid w:val="00AD6576"/>
    <w:pPr>
      <w:outlineLvl w:val="9"/>
    </w:pPr>
    <w:rPr>
      <w:rFonts w:asciiTheme="majorHAnsi" w:hAnsiTheme="majorHAnsi"/>
      <w:b w:val="0"/>
      <w:bCs w:val="0"/>
      <w:color w:val="2F5496" w:themeColor="accent1" w:themeShade="BF"/>
      <w:sz w:val="32"/>
      <w:lang w:val="en-US"/>
    </w:rPr>
  </w:style>
  <w:style w:type="paragraph" w:styleId="EndnoteText">
    <w:name w:val="endnote text"/>
    <w:basedOn w:val="Normal"/>
    <w:link w:val="EndnoteTextChar"/>
    <w:uiPriority w:val="99"/>
    <w:semiHidden/>
    <w:unhideWhenUsed/>
    <w:rsid w:val="00B168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6898"/>
    <w:rPr>
      <w:rFonts w:ascii="Verdana" w:hAnsi="Verdana"/>
      <w:sz w:val="20"/>
      <w:szCs w:val="20"/>
    </w:rPr>
  </w:style>
  <w:style w:type="character" w:styleId="EndnoteReference">
    <w:name w:val="endnote reference"/>
    <w:basedOn w:val="DefaultParagraphFont"/>
    <w:uiPriority w:val="99"/>
    <w:semiHidden/>
    <w:unhideWhenUsed/>
    <w:rsid w:val="00B16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72">
      <w:bodyDiv w:val="1"/>
      <w:marLeft w:val="0"/>
      <w:marRight w:val="0"/>
      <w:marTop w:val="0"/>
      <w:marBottom w:val="0"/>
      <w:divBdr>
        <w:top w:val="none" w:sz="0" w:space="0" w:color="auto"/>
        <w:left w:val="none" w:sz="0" w:space="0" w:color="auto"/>
        <w:bottom w:val="none" w:sz="0" w:space="0" w:color="auto"/>
        <w:right w:val="none" w:sz="0" w:space="0" w:color="auto"/>
      </w:divBdr>
      <w:divsChild>
        <w:div w:id="390229076">
          <w:marLeft w:val="0"/>
          <w:marRight w:val="0"/>
          <w:marTop w:val="0"/>
          <w:marBottom w:val="0"/>
          <w:divBdr>
            <w:top w:val="none" w:sz="0" w:space="0" w:color="auto"/>
            <w:left w:val="none" w:sz="0" w:space="0" w:color="auto"/>
            <w:bottom w:val="none" w:sz="0" w:space="0" w:color="auto"/>
            <w:right w:val="none" w:sz="0" w:space="0" w:color="auto"/>
          </w:divBdr>
        </w:div>
        <w:div w:id="1295867906">
          <w:marLeft w:val="0"/>
          <w:marRight w:val="0"/>
          <w:marTop w:val="0"/>
          <w:marBottom w:val="0"/>
          <w:divBdr>
            <w:top w:val="single" w:sz="2" w:space="0" w:color="D9D9E3"/>
            <w:left w:val="single" w:sz="2" w:space="0" w:color="D9D9E3"/>
            <w:bottom w:val="single" w:sz="2" w:space="0" w:color="D9D9E3"/>
            <w:right w:val="single" w:sz="2" w:space="0" w:color="D9D9E3"/>
          </w:divBdr>
          <w:divsChild>
            <w:div w:id="80874342">
              <w:marLeft w:val="0"/>
              <w:marRight w:val="0"/>
              <w:marTop w:val="0"/>
              <w:marBottom w:val="0"/>
              <w:divBdr>
                <w:top w:val="single" w:sz="2" w:space="0" w:color="D9D9E3"/>
                <w:left w:val="single" w:sz="2" w:space="0" w:color="D9D9E3"/>
                <w:bottom w:val="single" w:sz="2" w:space="0" w:color="D9D9E3"/>
                <w:right w:val="single" w:sz="2" w:space="0" w:color="D9D9E3"/>
              </w:divBdr>
              <w:divsChild>
                <w:div w:id="28998221">
                  <w:marLeft w:val="0"/>
                  <w:marRight w:val="0"/>
                  <w:marTop w:val="0"/>
                  <w:marBottom w:val="0"/>
                  <w:divBdr>
                    <w:top w:val="single" w:sz="2" w:space="0" w:color="D9D9E3"/>
                    <w:left w:val="single" w:sz="2" w:space="0" w:color="D9D9E3"/>
                    <w:bottom w:val="single" w:sz="2" w:space="0" w:color="D9D9E3"/>
                    <w:right w:val="single" w:sz="2" w:space="0" w:color="D9D9E3"/>
                  </w:divBdr>
                  <w:divsChild>
                    <w:div w:id="563832195">
                      <w:marLeft w:val="0"/>
                      <w:marRight w:val="0"/>
                      <w:marTop w:val="0"/>
                      <w:marBottom w:val="0"/>
                      <w:divBdr>
                        <w:top w:val="single" w:sz="2" w:space="0" w:color="D9D9E3"/>
                        <w:left w:val="single" w:sz="2" w:space="0" w:color="D9D9E3"/>
                        <w:bottom w:val="single" w:sz="2" w:space="0" w:color="D9D9E3"/>
                        <w:right w:val="single" w:sz="2" w:space="0" w:color="D9D9E3"/>
                      </w:divBdr>
                      <w:divsChild>
                        <w:div w:id="1337733708">
                          <w:marLeft w:val="0"/>
                          <w:marRight w:val="0"/>
                          <w:marTop w:val="0"/>
                          <w:marBottom w:val="0"/>
                          <w:divBdr>
                            <w:top w:val="single" w:sz="2" w:space="0" w:color="D9D9E3"/>
                            <w:left w:val="single" w:sz="2" w:space="0" w:color="D9D9E3"/>
                            <w:bottom w:val="single" w:sz="2" w:space="0" w:color="D9D9E3"/>
                            <w:right w:val="single" w:sz="2" w:space="0" w:color="D9D9E3"/>
                          </w:divBdr>
                          <w:divsChild>
                            <w:div w:id="702049496">
                              <w:marLeft w:val="0"/>
                              <w:marRight w:val="0"/>
                              <w:marTop w:val="100"/>
                              <w:marBottom w:val="100"/>
                              <w:divBdr>
                                <w:top w:val="single" w:sz="2" w:space="0" w:color="D9D9E3"/>
                                <w:left w:val="single" w:sz="2" w:space="0" w:color="D9D9E3"/>
                                <w:bottom w:val="single" w:sz="2" w:space="0" w:color="D9D9E3"/>
                                <w:right w:val="single" w:sz="2" w:space="0" w:color="D9D9E3"/>
                              </w:divBdr>
                              <w:divsChild>
                                <w:div w:id="268509050">
                                  <w:marLeft w:val="0"/>
                                  <w:marRight w:val="0"/>
                                  <w:marTop w:val="0"/>
                                  <w:marBottom w:val="0"/>
                                  <w:divBdr>
                                    <w:top w:val="single" w:sz="2" w:space="0" w:color="D9D9E3"/>
                                    <w:left w:val="single" w:sz="2" w:space="0" w:color="D9D9E3"/>
                                    <w:bottom w:val="single" w:sz="2" w:space="0" w:color="D9D9E3"/>
                                    <w:right w:val="single" w:sz="2" w:space="0" w:color="D9D9E3"/>
                                  </w:divBdr>
                                  <w:divsChild>
                                    <w:div w:id="1725329546">
                                      <w:marLeft w:val="0"/>
                                      <w:marRight w:val="0"/>
                                      <w:marTop w:val="0"/>
                                      <w:marBottom w:val="0"/>
                                      <w:divBdr>
                                        <w:top w:val="single" w:sz="2" w:space="0" w:color="D9D9E3"/>
                                        <w:left w:val="single" w:sz="2" w:space="0" w:color="D9D9E3"/>
                                        <w:bottom w:val="single" w:sz="2" w:space="0" w:color="D9D9E3"/>
                                        <w:right w:val="single" w:sz="2" w:space="0" w:color="D9D9E3"/>
                                      </w:divBdr>
                                      <w:divsChild>
                                        <w:div w:id="533352786">
                                          <w:marLeft w:val="0"/>
                                          <w:marRight w:val="0"/>
                                          <w:marTop w:val="0"/>
                                          <w:marBottom w:val="0"/>
                                          <w:divBdr>
                                            <w:top w:val="single" w:sz="2" w:space="0" w:color="D9D9E3"/>
                                            <w:left w:val="single" w:sz="2" w:space="0" w:color="D9D9E3"/>
                                            <w:bottom w:val="single" w:sz="2" w:space="0" w:color="D9D9E3"/>
                                            <w:right w:val="single" w:sz="2" w:space="0" w:color="D9D9E3"/>
                                          </w:divBdr>
                                          <w:divsChild>
                                            <w:div w:id="132211766">
                                              <w:marLeft w:val="0"/>
                                              <w:marRight w:val="0"/>
                                              <w:marTop w:val="0"/>
                                              <w:marBottom w:val="0"/>
                                              <w:divBdr>
                                                <w:top w:val="single" w:sz="2" w:space="0" w:color="D9D9E3"/>
                                                <w:left w:val="single" w:sz="2" w:space="0" w:color="D9D9E3"/>
                                                <w:bottom w:val="single" w:sz="2" w:space="0" w:color="D9D9E3"/>
                                                <w:right w:val="single" w:sz="2" w:space="0" w:color="D9D9E3"/>
                                              </w:divBdr>
                                              <w:divsChild>
                                                <w:div w:id="220095435">
                                                  <w:marLeft w:val="0"/>
                                                  <w:marRight w:val="0"/>
                                                  <w:marTop w:val="0"/>
                                                  <w:marBottom w:val="0"/>
                                                  <w:divBdr>
                                                    <w:top w:val="single" w:sz="2" w:space="0" w:color="D9D9E3"/>
                                                    <w:left w:val="single" w:sz="2" w:space="0" w:color="D9D9E3"/>
                                                    <w:bottom w:val="single" w:sz="2" w:space="0" w:color="D9D9E3"/>
                                                    <w:right w:val="single" w:sz="2" w:space="0" w:color="D9D9E3"/>
                                                  </w:divBdr>
                                                  <w:divsChild>
                                                    <w:div w:id="819924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80688085">
      <w:bodyDiv w:val="1"/>
      <w:marLeft w:val="0"/>
      <w:marRight w:val="0"/>
      <w:marTop w:val="0"/>
      <w:marBottom w:val="0"/>
      <w:divBdr>
        <w:top w:val="none" w:sz="0" w:space="0" w:color="auto"/>
        <w:left w:val="none" w:sz="0" w:space="0" w:color="auto"/>
        <w:bottom w:val="none" w:sz="0" w:space="0" w:color="auto"/>
        <w:right w:val="none" w:sz="0" w:space="0" w:color="auto"/>
      </w:divBdr>
    </w:div>
    <w:div w:id="336812592">
      <w:bodyDiv w:val="1"/>
      <w:marLeft w:val="0"/>
      <w:marRight w:val="0"/>
      <w:marTop w:val="0"/>
      <w:marBottom w:val="0"/>
      <w:divBdr>
        <w:top w:val="none" w:sz="0" w:space="0" w:color="auto"/>
        <w:left w:val="none" w:sz="0" w:space="0" w:color="auto"/>
        <w:bottom w:val="none" w:sz="0" w:space="0" w:color="auto"/>
        <w:right w:val="none" w:sz="0" w:space="0" w:color="auto"/>
      </w:divBdr>
    </w:div>
    <w:div w:id="360009036">
      <w:bodyDiv w:val="1"/>
      <w:marLeft w:val="0"/>
      <w:marRight w:val="0"/>
      <w:marTop w:val="0"/>
      <w:marBottom w:val="0"/>
      <w:divBdr>
        <w:top w:val="none" w:sz="0" w:space="0" w:color="auto"/>
        <w:left w:val="none" w:sz="0" w:space="0" w:color="auto"/>
        <w:bottom w:val="none" w:sz="0" w:space="0" w:color="auto"/>
        <w:right w:val="none" w:sz="0" w:space="0" w:color="auto"/>
      </w:divBdr>
    </w:div>
    <w:div w:id="425537792">
      <w:bodyDiv w:val="1"/>
      <w:marLeft w:val="0"/>
      <w:marRight w:val="0"/>
      <w:marTop w:val="0"/>
      <w:marBottom w:val="0"/>
      <w:divBdr>
        <w:top w:val="none" w:sz="0" w:space="0" w:color="auto"/>
        <w:left w:val="none" w:sz="0" w:space="0" w:color="auto"/>
        <w:bottom w:val="none" w:sz="0" w:space="0" w:color="auto"/>
        <w:right w:val="none" w:sz="0" w:space="0" w:color="auto"/>
      </w:divBdr>
      <w:divsChild>
        <w:div w:id="561017171">
          <w:marLeft w:val="0"/>
          <w:marRight w:val="0"/>
          <w:marTop w:val="0"/>
          <w:marBottom w:val="0"/>
          <w:divBdr>
            <w:top w:val="single" w:sz="2" w:space="0" w:color="D9D9E3"/>
            <w:left w:val="single" w:sz="2" w:space="0" w:color="D9D9E3"/>
            <w:bottom w:val="single" w:sz="2" w:space="0" w:color="D9D9E3"/>
            <w:right w:val="single" w:sz="2" w:space="0" w:color="D9D9E3"/>
          </w:divBdr>
          <w:divsChild>
            <w:div w:id="262417435">
              <w:marLeft w:val="0"/>
              <w:marRight w:val="0"/>
              <w:marTop w:val="0"/>
              <w:marBottom w:val="0"/>
              <w:divBdr>
                <w:top w:val="single" w:sz="2" w:space="0" w:color="D9D9E3"/>
                <w:left w:val="single" w:sz="2" w:space="0" w:color="D9D9E3"/>
                <w:bottom w:val="single" w:sz="2" w:space="0" w:color="D9D9E3"/>
                <w:right w:val="single" w:sz="2" w:space="0" w:color="D9D9E3"/>
              </w:divBdr>
              <w:divsChild>
                <w:div w:id="1600138020">
                  <w:marLeft w:val="0"/>
                  <w:marRight w:val="0"/>
                  <w:marTop w:val="0"/>
                  <w:marBottom w:val="0"/>
                  <w:divBdr>
                    <w:top w:val="single" w:sz="2" w:space="0" w:color="D9D9E3"/>
                    <w:left w:val="single" w:sz="2" w:space="0" w:color="D9D9E3"/>
                    <w:bottom w:val="single" w:sz="2" w:space="0" w:color="D9D9E3"/>
                    <w:right w:val="single" w:sz="2" w:space="0" w:color="D9D9E3"/>
                  </w:divBdr>
                  <w:divsChild>
                    <w:div w:id="1175650526">
                      <w:marLeft w:val="0"/>
                      <w:marRight w:val="0"/>
                      <w:marTop w:val="0"/>
                      <w:marBottom w:val="0"/>
                      <w:divBdr>
                        <w:top w:val="single" w:sz="2" w:space="0" w:color="D9D9E3"/>
                        <w:left w:val="single" w:sz="2" w:space="0" w:color="D9D9E3"/>
                        <w:bottom w:val="single" w:sz="2" w:space="0" w:color="D9D9E3"/>
                        <w:right w:val="single" w:sz="2" w:space="0" w:color="D9D9E3"/>
                      </w:divBdr>
                      <w:divsChild>
                        <w:div w:id="1265918514">
                          <w:marLeft w:val="0"/>
                          <w:marRight w:val="0"/>
                          <w:marTop w:val="0"/>
                          <w:marBottom w:val="0"/>
                          <w:divBdr>
                            <w:top w:val="single" w:sz="2" w:space="0" w:color="D9D9E3"/>
                            <w:left w:val="single" w:sz="2" w:space="0" w:color="D9D9E3"/>
                            <w:bottom w:val="single" w:sz="2" w:space="0" w:color="D9D9E3"/>
                            <w:right w:val="single" w:sz="2" w:space="0" w:color="D9D9E3"/>
                          </w:divBdr>
                          <w:divsChild>
                            <w:div w:id="1092430369">
                              <w:marLeft w:val="0"/>
                              <w:marRight w:val="0"/>
                              <w:marTop w:val="100"/>
                              <w:marBottom w:val="100"/>
                              <w:divBdr>
                                <w:top w:val="single" w:sz="2" w:space="0" w:color="D9D9E3"/>
                                <w:left w:val="single" w:sz="2" w:space="0" w:color="D9D9E3"/>
                                <w:bottom w:val="single" w:sz="2" w:space="0" w:color="D9D9E3"/>
                                <w:right w:val="single" w:sz="2" w:space="0" w:color="D9D9E3"/>
                              </w:divBdr>
                              <w:divsChild>
                                <w:div w:id="70348039">
                                  <w:marLeft w:val="0"/>
                                  <w:marRight w:val="0"/>
                                  <w:marTop w:val="0"/>
                                  <w:marBottom w:val="0"/>
                                  <w:divBdr>
                                    <w:top w:val="single" w:sz="2" w:space="0" w:color="D9D9E3"/>
                                    <w:left w:val="single" w:sz="2" w:space="0" w:color="D9D9E3"/>
                                    <w:bottom w:val="single" w:sz="2" w:space="0" w:color="D9D9E3"/>
                                    <w:right w:val="single" w:sz="2" w:space="0" w:color="D9D9E3"/>
                                  </w:divBdr>
                                  <w:divsChild>
                                    <w:div w:id="178130455">
                                      <w:marLeft w:val="0"/>
                                      <w:marRight w:val="0"/>
                                      <w:marTop w:val="0"/>
                                      <w:marBottom w:val="0"/>
                                      <w:divBdr>
                                        <w:top w:val="single" w:sz="2" w:space="0" w:color="D9D9E3"/>
                                        <w:left w:val="single" w:sz="2" w:space="0" w:color="D9D9E3"/>
                                        <w:bottom w:val="single" w:sz="2" w:space="0" w:color="D9D9E3"/>
                                        <w:right w:val="single" w:sz="2" w:space="0" w:color="D9D9E3"/>
                                      </w:divBdr>
                                      <w:divsChild>
                                        <w:div w:id="1831558808">
                                          <w:marLeft w:val="0"/>
                                          <w:marRight w:val="0"/>
                                          <w:marTop w:val="0"/>
                                          <w:marBottom w:val="0"/>
                                          <w:divBdr>
                                            <w:top w:val="single" w:sz="2" w:space="0" w:color="D9D9E3"/>
                                            <w:left w:val="single" w:sz="2" w:space="0" w:color="D9D9E3"/>
                                            <w:bottom w:val="single" w:sz="2" w:space="0" w:color="D9D9E3"/>
                                            <w:right w:val="single" w:sz="2" w:space="0" w:color="D9D9E3"/>
                                          </w:divBdr>
                                          <w:divsChild>
                                            <w:div w:id="1139613484">
                                              <w:marLeft w:val="0"/>
                                              <w:marRight w:val="0"/>
                                              <w:marTop w:val="0"/>
                                              <w:marBottom w:val="0"/>
                                              <w:divBdr>
                                                <w:top w:val="single" w:sz="2" w:space="0" w:color="D9D9E3"/>
                                                <w:left w:val="single" w:sz="2" w:space="0" w:color="D9D9E3"/>
                                                <w:bottom w:val="single" w:sz="2" w:space="0" w:color="D9D9E3"/>
                                                <w:right w:val="single" w:sz="2" w:space="0" w:color="D9D9E3"/>
                                              </w:divBdr>
                                              <w:divsChild>
                                                <w:div w:id="595988116">
                                                  <w:marLeft w:val="0"/>
                                                  <w:marRight w:val="0"/>
                                                  <w:marTop w:val="0"/>
                                                  <w:marBottom w:val="0"/>
                                                  <w:divBdr>
                                                    <w:top w:val="single" w:sz="2" w:space="0" w:color="D9D9E3"/>
                                                    <w:left w:val="single" w:sz="2" w:space="0" w:color="D9D9E3"/>
                                                    <w:bottom w:val="single" w:sz="2" w:space="0" w:color="D9D9E3"/>
                                                    <w:right w:val="single" w:sz="2" w:space="0" w:color="D9D9E3"/>
                                                  </w:divBdr>
                                                  <w:divsChild>
                                                    <w:div w:id="1800101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26731217">
          <w:marLeft w:val="0"/>
          <w:marRight w:val="0"/>
          <w:marTop w:val="0"/>
          <w:marBottom w:val="0"/>
          <w:divBdr>
            <w:top w:val="none" w:sz="0" w:space="0" w:color="auto"/>
            <w:left w:val="none" w:sz="0" w:space="0" w:color="auto"/>
            <w:bottom w:val="none" w:sz="0" w:space="0" w:color="auto"/>
            <w:right w:val="none" w:sz="0" w:space="0" w:color="auto"/>
          </w:divBdr>
        </w:div>
      </w:divsChild>
    </w:div>
    <w:div w:id="587272897">
      <w:bodyDiv w:val="1"/>
      <w:marLeft w:val="0"/>
      <w:marRight w:val="0"/>
      <w:marTop w:val="0"/>
      <w:marBottom w:val="0"/>
      <w:divBdr>
        <w:top w:val="none" w:sz="0" w:space="0" w:color="auto"/>
        <w:left w:val="none" w:sz="0" w:space="0" w:color="auto"/>
        <w:bottom w:val="none" w:sz="0" w:space="0" w:color="auto"/>
        <w:right w:val="none" w:sz="0" w:space="0" w:color="auto"/>
      </w:divBdr>
    </w:div>
    <w:div w:id="594829251">
      <w:bodyDiv w:val="1"/>
      <w:marLeft w:val="0"/>
      <w:marRight w:val="0"/>
      <w:marTop w:val="0"/>
      <w:marBottom w:val="0"/>
      <w:divBdr>
        <w:top w:val="none" w:sz="0" w:space="0" w:color="auto"/>
        <w:left w:val="none" w:sz="0" w:space="0" w:color="auto"/>
        <w:bottom w:val="none" w:sz="0" w:space="0" w:color="auto"/>
        <w:right w:val="none" w:sz="0" w:space="0" w:color="auto"/>
      </w:divBdr>
    </w:div>
    <w:div w:id="705762020">
      <w:bodyDiv w:val="1"/>
      <w:marLeft w:val="0"/>
      <w:marRight w:val="0"/>
      <w:marTop w:val="0"/>
      <w:marBottom w:val="0"/>
      <w:divBdr>
        <w:top w:val="none" w:sz="0" w:space="0" w:color="auto"/>
        <w:left w:val="none" w:sz="0" w:space="0" w:color="auto"/>
        <w:bottom w:val="none" w:sz="0" w:space="0" w:color="auto"/>
        <w:right w:val="none" w:sz="0" w:space="0" w:color="auto"/>
      </w:divBdr>
    </w:div>
    <w:div w:id="717433140">
      <w:bodyDiv w:val="1"/>
      <w:marLeft w:val="0"/>
      <w:marRight w:val="0"/>
      <w:marTop w:val="0"/>
      <w:marBottom w:val="0"/>
      <w:divBdr>
        <w:top w:val="none" w:sz="0" w:space="0" w:color="auto"/>
        <w:left w:val="none" w:sz="0" w:space="0" w:color="auto"/>
        <w:bottom w:val="none" w:sz="0" w:space="0" w:color="auto"/>
        <w:right w:val="none" w:sz="0" w:space="0" w:color="auto"/>
      </w:divBdr>
    </w:div>
    <w:div w:id="739790219">
      <w:bodyDiv w:val="1"/>
      <w:marLeft w:val="0"/>
      <w:marRight w:val="0"/>
      <w:marTop w:val="0"/>
      <w:marBottom w:val="0"/>
      <w:divBdr>
        <w:top w:val="none" w:sz="0" w:space="0" w:color="auto"/>
        <w:left w:val="none" w:sz="0" w:space="0" w:color="auto"/>
        <w:bottom w:val="none" w:sz="0" w:space="0" w:color="auto"/>
        <w:right w:val="none" w:sz="0" w:space="0" w:color="auto"/>
      </w:divBdr>
    </w:div>
    <w:div w:id="989745027">
      <w:bodyDiv w:val="1"/>
      <w:marLeft w:val="0"/>
      <w:marRight w:val="0"/>
      <w:marTop w:val="0"/>
      <w:marBottom w:val="0"/>
      <w:divBdr>
        <w:top w:val="none" w:sz="0" w:space="0" w:color="auto"/>
        <w:left w:val="none" w:sz="0" w:space="0" w:color="auto"/>
        <w:bottom w:val="none" w:sz="0" w:space="0" w:color="auto"/>
        <w:right w:val="none" w:sz="0" w:space="0" w:color="auto"/>
      </w:divBdr>
    </w:div>
    <w:div w:id="1018040949">
      <w:bodyDiv w:val="1"/>
      <w:marLeft w:val="0"/>
      <w:marRight w:val="0"/>
      <w:marTop w:val="0"/>
      <w:marBottom w:val="0"/>
      <w:divBdr>
        <w:top w:val="none" w:sz="0" w:space="0" w:color="auto"/>
        <w:left w:val="none" w:sz="0" w:space="0" w:color="auto"/>
        <w:bottom w:val="none" w:sz="0" w:space="0" w:color="auto"/>
        <w:right w:val="none" w:sz="0" w:space="0" w:color="auto"/>
      </w:divBdr>
    </w:div>
    <w:div w:id="1168179829">
      <w:bodyDiv w:val="1"/>
      <w:marLeft w:val="0"/>
      <w:marRight w:val="0"/>
      <w:marTop w:val="0"/>
      <w:marBottom w:val="0"/>
      <w:divBdr>
        <w:top w:val="none" w:sz="0" w:space="0" w:color="auto"/>
        <w:left w:val="none" w:sz="0" w:space="0" w:color="auto"/>
        <w:bottom w:val="none" w:sz="0" w:space="0" w:color="auto"/>
        <w:right w:val="none" w:sz="0" w:space="0" w:color="auto"/>
      </w:divBdr>
    </w:div>
    <w:div w:id="1183006709">
      <w:bodyDiv w:val="1"/>
      <w:marLeft w:val="0"/>
      <w:marRight w:val="0"/>
      <w:marTop w:val="0"/>
      <w:marBottom w:val="0"/>
      <w:divBdr>
        <w:top w:val="none" w:sz="0" w:space="0" w:color="auto"/>
        <w:left w:val="none" w:sz="0" w:space="0" w:color="auto"/>
        <w:bottom w:val="none" w:sz="0" w:space="0" w:color="auto"/>
        <w:right w:val="none" w:sz="0" w:space="0" w:color="auto"/>
      </w:divBdr>
    </w:div>
    <w:div w:id="1196313224">
      <w:bodyDiv w:val="1"/>
      <w:marLeft w:val="0"/>
      <w:marRight w:val="0"/>
      <w:marTop w:val="0"/>
      <w:marBottom w:val="0"/>
      <w:divBdr>
        <w:top w:val="none" w:sz="0" w:space="0" w:color="auto"/>
        <w:left w:val="none" w:sz="0" w:space="0" w:color="auto"/>
        <w:bottom w:val="none" w:sz="0" w:space="0" w:color="auto"/>
        <w:right w:val="none" w:sz="0" w:space="0" w:color="auto"/>
      </w:divBdr>
    </w:div>
    <w:div w:id="1288273824">
      <w:bodyDiv w:val="1"/>
      <w:marLeft w:val="0"/>
      <w:marRight w:val="0"/>
      <w:marTop w:val="0"/>
      <w:marBottom w:val="0"/>
      <w:divBdr>
        <w:top w:val="none" w:sz="0" w:space="0" w:color="auto"/>
        <w:left w:val="none" w:sz="0" w:space="0" w:color="auto"/>
        <w:bottom w:val="none" w:sz="0" w:space="0" w:color="auto"/>
        <w:right w:val="none" w:sz="0" w:space="0" w:color="auto"/>
      </w:divBdr>
    </w:div>
    <w:div w:id="1350371755">
      <w:bodyDiv w:val="1"/>
      <w:marLeft w:val="0"/>
      <w:marRight w:val="0"/>
      <w:marTop w:val="0"/>
      <w:marBottom w:val="0"/>
      <w:divBdr>
        <w:top w:val="none" w:sz="0" w:space="0" w:color="auto"/>
        <w:left w:val="none" w:sz="0" w:space="0" w:color="auto"/>
        <w:bottom w:val="none" w:sz="0" w:space="0" w:color="auto"/>
        <w:right w:val="none" w:sz="0" w:space="0" w:color="auto"/>
      </w:divBdr>
    </w:div>
    <w:div w:id="1353726681">
      <w:bodyDiv w:val="1"/>
      <w:marLeft w:val="0"/>
      <w:marRight w:val="0"/>
      <w:marTop w:val="0"/>
      <w:marBottom w:val="0"/>
      <w:divBdr>
        <w:top w:val="none" w:sz="0" w:space="0" w:color="auto"/>
        <w:left w:val="none" w:sz="0" w:space="0" w:color="auto"/>
        <w:bottom w:val="none" w:sz="0" w:space="0" w:color="auto"/>
        <w:right w:val="none" w:sz="0" w:space="0" w:color="auto"/>
      </w:divBdr>
    </w:div>
    <w:div w:id="1411266607">
      <w:bodyDiv w:val="1"/>
      <w:marLeft w:val="0"/>
      <w:marRight w:val="0"/>
      <w:marTop w:val="0"/>
      <w:marBottom w:val="0"/>
      <w:divBdr>
        <w:top w:val="none" w:sz="0" w:space="0" w:color="auto"/>
        <w:left w:val="none" w:sz="0" w:space="0" w:color="auto"/>
        <w:bottom w:val="none" w:sz="0" w:space="0" w:color="auto"/>
        <w:right w:val="none" w:sz="0" w:space="0" w:color="auto"/>
      </w:divBdr>
    </w:div>
    <w:div w:id="1429037916">
      <w:bodyDiv w:val="1"/>
      <w:marLeft w:val="0"/>
      <w:marRight w:val="0"/>
      <w:marTop w:val="0"/>
      <w:marBottom w:val="0"/>
      <w:divBdr>
        <w:top w:val="none" w:sz="0" w:space="0" w:color="auto"/>
        <w:left w:val="none" w:sz="0" w:space="0" w:color="auto"/>
        <w:bottom w:val="none" w:sz="0" w:space="0" w:color="auto"/>
        <w:right w:val="none" w:sz="0" w:space="0" w:color="auto"/>
      </w:divBdr>
    </w:div>
    <w:div w:id="1450276990">
      <w:bodyDiv w:val="1"/>
      <w:marLeft w:val="0"/>
      <w:marRight w:val="0"/>
      <w:marTop w:val="0"/>
      <w:marBottom w:val="0"/>
      <w:divBdr>
        <w:top w:val="none" w:sz="0" w:space="0" w:color="auto"/>
        <w:left w:val="none" w:sz="0" w:space="0" w:color="auto"/>
        <w:bottom w:val="none" w:sz="0" w:space="0" w:color="auto"/>
        <w:right w:val="none" w:sz="0" w:space="0" w:color="auto"/>
      </w:divBdr>
      <w:divsChild>
        <w:div w:id="1170674767">
          <w:marLeft w:val="0"/>
          <w:marRight w:val="0"/>
          <w:marTop w:val="0"/>
          <w:marBottom w:val="0"/>
          <w:divBdr>
            <w:top w:val="single" w:sz="2" w:space="0" w:color="D9D9E3"/>
            <w:left w:val="single" w:sz="2" w:space="0" w:color="D9D9E3"/>
            <w:bottom w:val="single" w:sz="2" w:space="0" w:color="D9D9E3"/>
            <w:right w:val="single" w:sz="2" w:space="0" w:color="D9D9E3"/>
          </w:divBdr>
          <w:divsChild>
            <w:div w:id="919557671">
              <w:marLeft w:val="0"/>
              <w:marRight w:val="0"/>
              <w:marTop w:val="0"/>
              <w:marBottom w:val="0"/>
              <w:divBdr>
                <w:top w:val="single" w:sz="2" w:space="0" w:color="D9D9E3"/>
                <w:left w:val="single" w:sz="2" w:space="0" w:color="D9D9E3"/>
                <w:bottom w:val="single" w:sz="2" w:space="0" w:color="D9D9E3"/>
                <w:right w:val="single" w:sz="2" w:space="0" w:color="D9D9E3"/>
              </w:divBdr>
              <w:divsChild>
                <w:div w:id="1036469397">
                  <w:marLeft w:val="0"/>
                  <w:marRight w:val="0"/>
                  <w:marTop w:val="0"/>
                  <w:marBottom w:val="0"/>
                  <w:divBdr>
                    <w:top w:val="single" w:sz="2" w:space="0" w:color="D9D9E3"/>
                    <w:left w:val="single" w:sz="2" w:space="0" w:color="D9D9E3"/>
                    <w:bottom w:val="single" w:sz="2" w:space="0" w:color="D9D9E3"/>
                    <w:right w:val="single" w:sz="2" w:space="0" w:color="D9D9E3"/>
                  </w:divBdr>
                  <w:divsChild>
                    <w:div w:id="1235973009">
                      <w:marLeft w:val="0"/>
                      <w:marRight w:val="0"/>
                      <w:marTop w:val="0"/>
                      <w:marBottom w:val="0"/>
                      <w:divBdr>
                        <w:top w:val="single" w:sz="2" w:space="0" w:color="D9D9E3"/>
                        <w:left w:val="single" w:sz="2" w:space="0" w:color="D9D9E3"/>
                        <w:bottom w:val="single" w:sz="2" w:space="0" w:color="D9D9E3"/>
                        <w:right w:val="single" w:sz="2" w:space="0" w:color="D9D9E3"/>
                      </w:divBdr>
                      <w:divsChild>
                        <w:div w:id="1151825323">
                          <w:marLeft w:val="0"/>
                          <w:marRight w:val="0"/>
                          <w:marTop w:val="0"/>
                          <w:marBottom w:val="0"/>
                          <w:divBdr>
                            <w:top w:val="single" w:sz="2" w:space="0" w:color="D9D9E3"/>
                            <w:left w:val="single" w:sz="2" w:space="0" w:color="D9D9E3"/>
                            <w:bottom w:val="single" w:sz="2" w:space="0" w:color="D9D9E3"/>
                            <w:right w:val="single" w:sz="2" w:space="0" w:color="D9D9E3"/>
                          </w:divBdr>
                          <w:divsChild>
                            <w:div w:id="1463309156">
                              <w:marLeft w:val="0"/>
                              <w:marRight w:val="0"/>
                              <w:marTop w:val="100"/>
                              <w:marBottom w:val="100"/>
                              <w:divBdr>
                                <w:top w:val="single" w:sz="2" w:space="0" w:color="D9D9E3"/>
                                <w:left w:val="single" w:sz="2" w:space="0" w:color="D9D9E3"/>
                                <w:bottom w:val="single" w:sz="2" w:space="0" w:color="D9D9E3"/>
                                <w:right w:val="single" w:sz="2" w:space="0" w:color="D9D9E3"/>
                              </w:divBdr>
                              <w:divsChild>
                                <w:div w:id="472256038">
                                  <w:marLeft w:val="0"/>
                                  <w:marRight w:val="0"/>
                                  <w:marTop w:val="0"/>
                                  <w:marBottom w:val="0"/>
                                  <w:divBdr>
                                    <w:top w:val="single" w:sz="2" w:space="0" w:color="D9D9E3"/>
                                    <w:left w:val="single" w:sz="2" w:space="0" w:color="D9D9E3"/>
                                    <w:bottom w:val="single" w:sz="2" w:space="0" w:color="D9D9E3"/>
                                    <w:right w:val="single" w:sz="2" w:space="0" w:color="D9D9E3"/>
                                  </w:divBdr>
                                  <w:divsChild>
                                    <w:div w:id="849494218">
                                      <w:marLeft w:val="0"/>
                                      <w:marRight w:val="0"/>
                                      <w:marTop w:val="0"/>
                                      <w:marBottom w:val="0"/>
                                      <w:divBdr>
                                        <w:top w:val="single" w:sz="2" w:space="0" w:color="D9D9E3"/>
                                        <w:left w:val="single" w:sz="2" w:space="0" w:color="D9D9E3"/>
                                        <w:bottom w:val="single" w:sz="2" w:space="0" w:color="D9D9E3"/>
                                        <w:right w:val="single" w:sz="2" w:space="0" w:color="D9D9E3"/>
                                      </w:divBdr>
                                      <w:divsChild>
                                        <w:div w:id="1544711414">
                                          <w:marLeft w:val="0"/>
                                          <w:marRight w:val="0"/>
                                          <w:marTop w:val="0"/>
                                          <w:marBottom w:val="0"/>
                                          <w:divBdr>
                                            <w:top w:val="single" w:sz="2" w:space="0" w:color="D9D9E3"/>
                                            <w:left w:val="single" w:sz="2" w:space="0" w:color="D9D9E3"/>
                                            <w:bottom w:val="single" w:sz="2" w:space="0" w:color="D9D9E3"/>
                                            <w:right w:val="single" w:sz="2" w:space="0" w:color="D9D9E3"/>
                                          </w:divBdr>
                                          <w:divsChild>
                                            <w:div w:id="1628245112">
                                              <w:marLeft w:val="0"/>
                                              <w:marRight w:val="0"/>
                                              <w:marTop w:val="0"/>
                                              <w:marBottom w:val="0"/>
                                              <w:divBdr>
                                                <w:top w:val="single" w:sz="2" w:space="0" w:color="D9D9E3"/>
                                                <w:left w:val="single" w:sz="2" w:space="0" w:color="D9D9E3"/>
                                                <w:bottom w:val="single" w:sz="2" w:space="0" w:color="D9D9E3"/>
                                                <w:right w:val="single" w:sz="2" w:space="0" w:color="D9D9E3"/>
                                              </w:divBdr>
                                              <w:divsChild>
                                                <w:div w:id="339623819">
                                                  <w:marLeft w:val="0"/>
                                                  <w:marRight w:val="0"/>
                                                  <w:marTop w:val="0"/>
                                                  <w:marBottom w:val="0"/>
                                                  <w:divBdr>
                                                    <w:top w:val="single" w:sz="2" w:space="0" w:color="D9D9E3"/>
                                                    <w:left w:val="single" w:sz="2" w:space="0" w:color="D9D9E3"/>
                                                    <w:bottom w:val="single" w:sz="2" w:space="0" w:color="D9D9E3"/>
                                                    <w:right w:val="single" w:sz="2" w:space="0" w:color="D9D9E3"/>
                                                  </w:divBdr>
                                                  <w:divsChild>
                                                    <w:div w:id="1036194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72459724">
          <w:marLeft w:val="0"/>
          <w:marRight w:val="0"/>
          <w:marTop w:val="0"/>
          <w:marBottom w:val="0"/>
          <w:divBdr>
            <w:top w:val="none" w:sz="0" w:space="0" w:color="auto"/>
            <w:left w:val="none" w:sz="0" w:space="0" w:color="auto"/>
            <w:bottom w:val="none" w:sz="0" w:space="0" w:color="auto"/>
            <w:right w:val="none" w:sz="0" w:space="0" w:color="auto"/>
          </w:divBdr>
        </w:div>
      </w:divsChild>
    </w:div>
    <w:div w:id="1479228631">
      <w:bodyDiv w:val="1"/>
      <w:marLeft w:val="0"/>
      <w:marRight w:val="0"/>
      <w:marTop w:val="0"/>
      <w:marBottom w:val="0"/>
      <w:divBdr>
        <w:top w:val="none" w:sz="0" w:space="0" w:color="auto"/>
        <w:left w:val="none" w:sz="0" w:space="0" w:color="auto"/>
        <w:bottom w:val="none" w:sz="0" w:space="0" w:color="auto"/>
        <w:right w:val="none" w:sz="0" w:space="0" w:color="auto"/>
      </w:divBdr>
    </w:div>
    <w:div w:id="1791053079">
      <w:bodyDiv w:val="1"/>
      <w:marLeft w:val="0"/>
      <w:marRight w:val="0"/>
      <w:marTop w:val="0"/>
      <w:marBottom w:val="0"/>
      <w:divBdr>
        <w:top w:val="none" w:sz="0" w:space="0" w:color="auto"/>
        <w:left w:val="none" w:sz="0" w:space="0" w:color="auto"/>
        <w:bottom w:val="none" w:sz="0" w:space="0" w:color="auto"/>
        <w:right w:val="none" w:sz="0" w:space="0" w:color="auto"/>
      </w:divBdr>
    </w:div>
    <w:div w:id="1926455566">
      <w:bodyDiv w:val="1"/>
      <w:marLeft w:val="0"/>
      <w:marRight w:val="0"/>
      <w:marTop w:val="0"/>
      <w:marBottom w:val="0"/>
      <w:divBdr>
        <w:top w:val="none" w:sz="0" w:space="0" w:color="auto"/>
        <w:left w:val="none" w:sz="0" w:space="0" w:color="auto"/>
        <w:bottom w:val="none" w:sz="0" w:space="0" w:color="auto"/>
        <w:right w:val="none" w:sz="0" w:space="0" w:color="auto"/>
      </w:divBdr>
    </w:div>
    <w:div w:id="1967616361">
      <w:bodyDiv w:val="1"/>
      <w:marLeft w:val="0"/>
      <w:marRight w:val="0"/>
      <w:marTop w:val="0"/>
      <w:marBottom w:val="0"/>
      <w:divBdr>
        <w:top w:val="none" w:sz="0" w:space="0" w:color="auto"/>
        <w:left w:val="none" w:sz="0" w:space="0" w:color="auto"/>
        <w:bottom w:val="none" w:sz="0" w:space="0" w:color="auto"/>
        <w:right w:val="none" w:sz="0" w:space="0" w:color="auto"/>
      </w:divBdr>
    </w:div>
    <w:div w:id="1998880003">
      <w:bodyDiv w:val="1"/>
      <w:marLeft w:val="0"/>
      <w:marRight w:val="0"/>
      <w:marTop w:val="0"/>
      <w:marBottom w:val="0"/>
      <w:divBdr>
        <w:top w:val="none" w:sz="0" w:space="0" w:color="auto"/>
        <w:left w:val="none" w:sz="0" w:space="0" w:color="auto"/>
        <w:bottom w:val="none" w:sz="0" w:space="0" w:color="auto"/>
        <w:right w:val="none" w:sz="0" w:space="0" w:color="auto"/>
      </w:divBdr>
    </w:div>
    <w:div w:id="2010519694">
      <w:bodyDiv w:val="1"/>
      <w:marLeft w:val="0"/>
      <w:marRight w:val="0"/>
      <w:marTop w:val="0"/>
      <w:marBottom w:val="0"/>
      <w:divBdr>
        <w:top w:val="none" w:sz="0" w:space="0" w:color="auto"/>
        <w:left w:val="none" w:sz="0" w:space="0" w:color="auto"/>
        <w:bottom w:val="none" w:sz="0" w:space="0" w:color="auto"/>
        <w:right w:val="none" w:sz="0" w:space="0" w:color="auto"/>
      </w:divBdr>
    </w:div>
    <w:div w:id="2087145654">
      <w:bodyDiv w:val="1"/>
      <w:marLeft w:val="0"/>
      <w:marRight w:val="0"/>
      <w:marTop w:val="0"/>
      <w:marBottom w:val="0"/>
      <w:divBdr>
        <w:top w:val="none" w:sz="0" w:space="0" w:color="auto"/>
        <w:left w:val="none" w:sz="0" w:space="0" w:color="auto"/>
        <w:bottom w:val="none" w:sz="0" w:space="0" w:color="auto"/>
        <w:right w:val="none" w:sz="0" w:space="0" w:color="auto"/>
      </w:divBdr>
    </w:div>
    <w:div w:id="213112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ba.chooose.today/" TargetMode="External"/><Relationship Id="rId26" Type="http://schemas.openxmlformats.org/officeDocument/2006/relationships/hyperlink" Target="https://ghgprotocol.org/sites/default/files/standards/Corporate-Value-Chain-Accounting-Reporing-Standard_041613_2.pdf" TargetMode="External"/><Relationship Id="rId39" Type="http://schemas.openxmlformats.org/officeDocument/2006/relationships/hyperlink" Target="https://wizzair.chooose.today/" TargetMode="External"/><Relationship Id="rId21" Type="http://schemas.openxmlformats.org/officeDocument/2006/relationships/hyperlink" Target="https://www.teck.com/media/Carbon-Footprint-of-Teck-Special-High-Grade-Zinc.pdf?form=MG0AV3&amp;form=MG0AV3" TargetMode="External"/><Relationship Id="rId34" Type="http://schemas.openxmlformats.org/officeDocument/2006/relationships/hyperlink" Target="https://www.sciencedirect.com/science/article/pii/S0921344915301245?via%3Dihub"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dn.cdp.net/cdp-production/cms/guidance_docs/pdfs/000/003/504/original/CDP-technical-note-scope-3-relevance-by-sector.pdf" TargetMode="External"/><Relationship Id="rId29" Type="http://schemas.openxmlformats.org/officeDocument/2006/relationships/hyperlink" Target="https://unstats.un.org/unsd/classifications/Econ/Download/In%20Text/Isic31_English.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asyjet.southpole.com/" TargetMode="External"/><Relationship Id="rId32" Type="http://schemas.openxmlformats.org/officeDocument/2006/relationships/hyperlink" Target="https://quantis-suite.com/Scope-3-Evaluator/" TargetMode="External"/><Relationship Id="rId37" Type="http://schemas.openxmlformats.org/officeDocument/2006/relationships/hyperlink" Target="https://www.unep.org/explore-topics/chemicals-waste/what-we-do/emerging-issues/used-lead-acid-batteries-ulab-waste-lead"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ommittees.parliament.uk/publications/7590/documents/79606/default/" TargetMode="External"/><Relationship Id="rId28" Type="http://schemas.openxmlformats.org/officeDocument/2006/relationships/hyperlink" Target="https://copperalliance.org/wp-content/uploads/2023/02/ICA-GlobalDecarbonization-202301-Final-singlepgs.pdf" TargetMode="External"/><Relationship Id="rId36" Type="http://schemas.openxmlformats.org/officeDocument/2006/relationships/hyperlink" Target="https://www3.epa.gov/ttnchie1/ap42/ch12/final/c12s11_2010.pdf" TargetMode="External"/><Relationship Id="rId10" Type="http://schemas.openxmlformats.org/officeDocument/2006/relationships/endnotes" Target="endnotes.xml"/><Relationship Id="rId19" Type="http://schemas.openxmlformats.org/officeDocument/2006/relationships/hyperlink" Target="https://www.mgg-recycling.com/wp-content/uploads/2013/06/BIR_CO2_report.pdf" TargetMode="External"/><Relationship Id="rId31" Type="http://schemas.openxmlformats.org/officeDocument/2006/relationships/hyperlink" Target="https://www.researchgate.net/publication/319697995_A_Review_of_the_Carbon_Footprint_of_Cu_and_Zn_Production_from_Primary_and_Secondary_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link.springer.com/article/10.1007/s11367-015-1021-5" TargetMode="External"/><Relationship Id="rId27" Type="http://schemas.openxmlformats.org/officeDocument/2006/relationships/hyperlink" Target="https://ghgprotocol.org/sites/default/files/standards/Scope3_Calculation_Guidance_0.pdf" TargetMode="External"/><Relationship Id="rId30" Type="http://schemas.openxmlformats.org/officeDocument/2006/relationships/hyperlink" Target="https://co2.myclimate.org/en/flight_calculators/new" TargetMode="External"/><Relationship Id="rId35" Type="http://schemas.openxmlformats.org/officeDocument/2006/relationships/hyperlink" Target="https://nepis.epa.gov/Exe/tiff2png.cgi/94001BY2.PNG?-r+75+-g+7+D%3A%5CZYFILES%5CINDEX%20DATA%5C76THRU80%5CTIFF%5C00005544%5C94001BY2.TI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ecometrica.com/assets/Electricity-specific-emission-factors-for-grid-electricity.pdf" TargetMode="External"/><Relationship Id="rId25" Type="http://schemas.openxmlformats.org/officeDocument/2006/relationships/hyperlink" Target="https://www.thaiscience.info/Journals/Article/APER/10979994.pdf?form=MG0AV3" TargetMode="External"/><Relationship Id="rId33" Type="http://schemas.openxmlformats.org/officeDocument/2006/relationships/hyperlink" Target="https://turkishairlines.co2mission.com/en/offset/calculation" TargetMode="External"/><Relationship Id="rId38" Type="http://schemas.openxmlformats.org/officeDocument/2006/relationships/hyperlink" Target="https://pubs.usgs.gov/periodicals/mcs2020/mcs2020.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pa.gov/system/files/documents/2025-01/ghg-emission-factors-hub-2025.pdf" TargetMode="External"/><Relationship Id="rId13" Type="http://schemas.openxmlformats.org/officeDocument/2006/relationships/hyperlink" Target="https://ba.chooose.today/" TargetMode="External"/><Relationship Id="rId18" Type="http://schemas.openxmlformats.org/officeDocument/2006/relationships/hyperlink" Target="https://www.epa.gov/system/files/documents/2025-01/ghg-emission-factors-hub-2025.pdf" TargetMode="External"/><Relationship Id="rId26" Type="http://schemas.openxmlformats.org/officeDocument/2006/relationships/hyperlink" Target="https://www.mgg-recycling.com/wp-content/uploads/2013/06/BIR_CO2_report.pdf" TargetMode="External"/><Relationship Id="rId3" Type="http://schemas.openxmlformats.org/officeDocument/2006/relationships/hyperlink" Target="https://ghgprotocol.org/sites/default/files/2023-03/Scope3_Calculation_Guidance_0%5B1%5D.pdf" TargetMode="External"/><Relationship Id="rId21" Type="http://schemas.openxmlformats.org/officeDocument/2006/relationships/hyperlink" Target="https://copperalliance.org/wp-content/uploads/2023/02/ICA-GlobalDecarbonization-202301-Final-singlepgs.pdf" TargetMode="External"/><Relationship Id="rId7" Type="http://schemas.openxmlformats.org/officeDocument/2006/relationships/hyperlink" Target="https://ecometrica.com/assets/Electricity-specific-emission-factors-for-grid-electricity.pdf" TargetMode="External"/><Relationship Id="rId12" Type="http://schemas.openxmlformats.org/officeDocument/2006/relationships/hyperlink" Target="https://ghgprotocol.org/sites/default/files/2023-03/Scope3_Calculation_Guidance_0%5B1%5D.pdf" TargetMode="External"/><Relationship Id="rId17" Type="http://schemas.openxmlformats.org/officeDocument/2006/relationships/hyperlink" Target="https://committees.parliament.uk/publications/7590/documents/79606/default/" TargetMode="External"/><Relationship Id="rId25" Type="http://schemas.openxmlformats.org/officeDocument/2006/relationships/hyperlink" Target="https://www.thaiscience.info/Journals/Article/APER/10979994.pdf?form=MG0AV3" TargetMode="External"/><Relationship Id="rId2" Type="http://schemas.openxmlformats.org/officeDocument/2006/relationships/hyperlink" Target="https://ghgprotocol.org/sites/default/files/2022-12/Required%20gases%20and%20GWP%20values_0.pdf" TargetMode="External"/><Relationship Id="rId16" Type="http://schemas.openxmlformats.org/officeDocument/2006/relationships/hyperlink" Target="https://co2.myclimate.org/en/flight_calculators/new" TargetMode="External"/><Relationship Id="rId20" Type="http://schemas.openxmlformats.org/officeDocument/2006/relationships/hyperlink" Target="https://www.unep.org/explore-topics/chemicals-waste/what-we-do/emerging-issues/used-lead-acid-batteries-ulab-waste-lead" TargetMode="External"/><Relationship Id="rId29" Type="http://schemas.openxmlformats.org/officeDocument/2006/relationships/hyperlink" Target="https://copperalliance.org/wp-content/uploads/2023/02/ICA-GlobalDecarbonization-202301-Final-singlepgs.pdf" TargetMode="External"/><Relationship Id="rId1" Type="http://schemas.openxmlformats.org/officeDocument/2006/relationships/hyperlink" Target="https://ghgprotocol.org/sites/default/files/standards/Corporate-Value-Chain-Accounting-Reporing-Standard_041613_2.pdf" TargetMode="External"/><Relationship Id="rId6" Type="http://schemas.openxmlformats.org/officeDocument/2006/relationships/hyperlink" Target="https://quantis-suite.com/Scope-3-Evaluator/" TargetMode="External"/><Relationship Id="rId11" Type="http://schemas.openxmlformats.org/officeDocument/2006/relationships/hyperlink" Target="https://www.sciencedirect.com/science/article/pii/S0921344915301245?via%3Dihub" TargetMode="External"/><Relationship Id="rId24" Type="http://schemas.openxmlformats.org/officeDocument/2006/relationships/hyperlink" Target="https://copperalliance.org/wp-content/uploads/2023/02/ICA-GlobalDecarbonization-202301-Final-singlepgs.pdf" TargetMode="External"/><Relationship Id="rId5" Type="http://schemas.openxmlformats.org/officeDocument/2006/relationships/hyperlink" Target="https://quantis-suite.com/Scope-3-Evaluator/" TargetMode="External"/><Relationship Id="rId15" Type="http://schemas.openxmlformats.org/officeDocument/2006/relationships/hyperlink" Target="https://wizzair.chooose.today/" TargetMode="External"/><Relationship Id="rId23" Type="http://schemas.openxmlformats.org/officeDocument/2006/relationships/hyperlink" Target="https://nepis.epa.gov/Exe/tiff2png.cgi/94001BY2" TargetMode="External"/><Relationship Id="rId28" Type="http://schemas.openxmlformats.org/officeDocument/2006/relationships/hyperlink" Target="https://www3.epa.gov/ttnchie1/ap42/ch12/final/c12s11_2010.pdf" TargetMode="External"/><Relationship Id="rId10" Type="http://schemas.openxmlformats.org/officeDocument/2006/relationships/hyperlink" Target="https://www.gov.uk/government/publications/greenhouse-gas-reporting-conversion-factors-2024" TargetMode="External"/><Relationship Id="rId19" Type="http://schemas.openxmlformats.org/officeDocument/2006/relationships/hyperlink" Target="https://link.springer.com/article/10.1007/s11367-015-1021-5" TargetMode="External"/><Relationship Id="rId31" Type="http://schemas.openxmlformats.org/officeDocument/2006/relationships/hyperlink" Target="https://www3.epa.gov/ttnchie1/ap42/ch12/final/c12s11_2010.pdf" TargetMode="External"/><Relationship Id="rId4" Type="http://schemas.openxmlformats.org/officeDocument/2006/relationships/hyperlink" Target="https://quantis-suite.com/Scope-3-Evaluator/" TargetMode="External"/><Relationship Id="rId9" Type="http://schemas.openxmlformats.org/officeDocument/2006/relationships/hyperlink" Target="https://www.epa.gov/system/files/documents/2025-01/ghg-emission-factors-hub-2025.pdf" TargetMode="External"/><Relationship Id="rId14" Type="http://schemas.openxmlformats.org/officeDocument/2006/relationships/hyperlink" Target="https://easyjet.southpole.com/" TargetMode="External"/><Relationship Id="rId22" Type="http://schemas.openxmlformats.org/officeDocument/2006/relationships/hyperlink" Target="https://www.thaiscience.info/Journals/Article/APER/10979994.pdf?form=MG0AV3" TargetMode="External"/><Relationship Id="rId27" Type="http://schemas.openxmlformats.org/officeDocument/2006/relationships/hyperlink" Target="https://www.researchgate.net/publication/319697995_A_Review_of_the_Carbon_Footprint_of_Cu_and_Zn_Production_from_Primary_and_Secondary_Sources" TargetMode="External"/><Relationship Id="rId30" Type="http://schemas.openxmlformats.org/officeDocument/2006/relationships/hyperlink" Target="https://www.mgg-recycling.com/wp-content/uploads/2013/06/BIR_CO2_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73992D879A443B0B0B4DDD43C62DE" ma:contentTypeVersion="12" ma:contentTypeDescription="Create a new document." ma:contentTypeScope="" ma:versionID="e295120a4d2c1399ca626a88b8d0443d">
  <xsd:schema xmlns:xsd="http://www.w3.org/2001/XMLSchema" xmlns:xs="http://www.w3.org/2001/XMLSchema" xmlns:p="http://schemas.microsoft.com/office/2006/metadata/properties" xmlns:ns2="8bb287fd-a1b3-4fa6-9931-027708e03e4a" xmlns:ns3="5a919af9-f2e3-47e8-80c4-ad2666df3eae" targetNamespace="http://schemas.microsoft.com/office/2006/metadata/properties" ma:root="true" ma:fieldsID="0e75fb5429edb5e515dc77f448c85328" ns2:_="" ns3:_="">
    <xsd:import namespace="8bb287fd-a1b3-4fa6-9931-027708e03e4a"/>
    <xsd:import namespace="5a919af9-f2e3-47e8-80c4-ad2666df3e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287fd-a1b3-4fa6-9931-027708e03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27afba-dfba-4c59-aeb2-7f01ef6cd9a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19af9-f2e3-47e8-80c4-ad2666df3e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b287fd-a1b3-4fa6-9931-027708e03e4a">
      <Terms xmlns="http://schemas.microsoft.com/office/infopath/2007/PartnerControls"/>
    </lcf76f155ced4ddcb4097134ff3c332f>
    <SharedWithUsers xmlns="5a919af9-f2e3-47e8-80c4-ad2666df3eae">
      <UserInfo>
        <DisplayName>Tom Loveridge</DisplayName>
        <AccountId>10</AccountId>
        <AccountType/>
      </UserInfo>
      <UserInfo>
        <DisplayName>Anastasiya Savchenko</DisplayName>
        <AccountId>38</AccountId>
        <AccountType/>
      </UserInfo>
      <UserInfo>
        <DisplayName>Megan Farrell</DisplayName>
        <AccountId>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B4E6C-7FF5-4A31-80DC-9883C4F57F5B}">
  <ds:schemaRefs>
    <ds:schemaRef ds:uri="http://schemas.microsoft.com/sharepoint/v3/contenttype/forms"/>
  </ds:schemaRefs>
</ds:datastoreItem>
</file>

<file path=customXml/itemProps2.xml><?xml version="1.0" encoding="utf-8"?>
<ds:datastoreItem xmlns:ds="http://schemas.openxmlformats.org/officeDocument/2006/customXml" ds:itemID="{92911036-8E96-4C96-87F8-89F7EC954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287fd-a1b3-4fa6-9931-027708e03e4a"/>
    <ds:schemaRef ds:uri="5a919af9-f2e3-47e8-80c4-ad2666df3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ED310-0570-48BB-BA35-C410C6A503E1}">
  <ds:schemaRefs>
    <ds:schemaRef ds:uri="http://schemas.microsoft.com/office/2006/metadata/properties"/>
    <ds:schemaRef ds:uri="http://schemas.microsoft.com/office/infopath/2007/PartnerControls"/>
    <ds:schemaRef ds:uri="8bb287fd-a1b3-4fa6-9931-027708e03e4a"/>
    <ds:schemaRef ds:uri="5a919af9-f2e3-47e8-80c4-ad2666df3eae"/>
  </ds:schemaRefs>
</ds:datastoreItem>
</file>

<file path=customXml/itemProps4.xml><?xml version="1.0" encoding="utf-8"?>
<ds:datastoreItem xmlns:ds="http://schemas.openxmlformats.org/officeDocument/2006/customXml" ds:itemID="{9A4E5079-3686-422F-AAE3-CB4B4B65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9284</Words>
  <Characters>52919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62079</CharactersWithSpaces>
  <SharedDoc>false</SharedDoc>
  <HLinks>
    <vt:vector size="654" baseType="variant">
      <vt:variant>
        <vt:i4>4063281</vt:i4>
      </vt:variant>
      <vt:variant>
        <vt:i4>276</vt:i4>
      </vt:variant>
      <vt:variant>
        <vt:i4>0</vt:i4>
      </vt:variant>
      <vt:variant>
        <vt:i4>5</vt:i4>
      </vt:variant>
      <vt:variant>
        <vt:lpwstr>https://wizzair.chooose.today/</vt:lpwstr>
      </vt:variant>
      <vt:variant>
        <vt:lpwstr/>
      </vt:variant>
      <vt:variant>
        <vt:i4>4587531</vt:i4>
      </vt:variant>
      <vt:variant>
        <vt:i4>273</vt:i4>
      </vt:variant>
      <vt:variant>
        <vt:i4>0</vt:i4>
      </vt:variant>
      <vt:variant>
        <vt:i4>5</vt:i4>
      </vt:variant>
      <vt:variant>
        <vt:lpwstr>https://pubs.usgs.gov/periodicals/mcs2020/mcs2020.pdf</vt:lpwstr>
      </vt:variant>
      <vt:variant>
        <vt:lpwstr/>
      </vt:variant>
      <vt:variant>
        <vt:i4>3670120</vt:i4>
      </vt:variant>
      <vt:variant>
        <vt:i4>270</vt:i4>
      </vt:variant>
      <vt:variant>
        <vt:i4>0</vt:i4>
      </vt:variant>
      <vt:variant>
        <vt:i4>5</vt:i4>
      </vt:variant>
      <vt:variant>
        <vt:lpwstr>https://www.unep.org/explore-topics/chemicals-waste/what-we-do/emerging-issues/used-lead-acid-batteries-ulab-waste-lead</vt:lpwstr>
      </vt:variant>
      <vt:variant>
        <vt:lpwstr/>
      </vt:variant>
      <vt:variant>
        <vt:i4>5898292</vt:i4>
      </vt:variant>
      <vt:variant>
        <vt:i4>267</vt:i4>
      </vt:variant>
      <vt:variant>
        <vt:i4>0</vt:i4>
      </vt:variant>
      <vt:variant>
        <vt:i4>5</vt:i4>
      </vt:variant>
      <vt:variant>
        <vt:lpwstr>https://www3.epa.gov/ttnchie1/ap42/ch12/final/c12s11_2010.pdf</vt:lpwstr>
      </vt:variant>
      <vt:variant>
        <vt:lpwstr/>
      </vt:variant>
      <vt:variant>
        <vt:i4>1376339</vt:i4>
      </vt:variant>
      <vt:variant>
        <vt:i4>264</vt:i4>
      </vt:variant>
      <vt:variant>
        <vt:i4>0</vt:i4>
      </vt:variant>
      <vt:variant>
        <vt:i4>5</vt:i4>
      </vt:variant>
      <vt:variant>
        <vt:lpwstr>https://nepis.epa.gov/Exe/tiff2png.cgi/94001BY2.PNG?-r+75+-g+7+D%3A%5CZYFILES%5CINDEX%20DATA%5C76THRU80%5CTIFF%5C00005544%5C94001BY2.TIF</vt:lpwstr>
      </vt:variant>
      <vt:variant>
        <vt:lpwstr/>
      </vt:variant>
      <vt:variant>
        <vt:i4>8323199</vt:i4>
      </vt:variant>
      <vt:variant>
        <vt:i4>261</vt:i4>
      </vt:variant>
      <vt:variant>
        <vt:i4>0</vt:i4>
      </vt:variant>
      <vt:variant>
        <vt:i4>5</vt:i4>
      </vt:variant>
      <vt:variant>
        <vt:lpwstr>https://www.researchgate.net/publication/319697995_A_Review_of_the_Carbon_Footprint_of_Cu_and_Zn_Production_from_Primary_and_Secondary_Sources</vt:lpwstr>
      </vt:variant>
      <vt:variant>
        <vt:lpwstr/>
      </vt:variant>
      <vt:variant>
        <vt:i4>8192112</vt:i4>
      </vt:variant>
      <vt:variant>
        <vt:i4>255</vt:i4>
      </vt:variant>
      <vt:variant>
        <vt:i4>0</vt:i4>
      </vt:variant>
      <vt:variant>
        <vt:i4>5</vt:i4>
      </vt:variant>
      <vt:variant>
        <vt:lpwstr>https://www.sciencedirect.com/science/article/pii/S0921344915301245?via%3Dihub</vt:lpwstr>
      </vt:variant>
      <vt:variant>
        <vt:lpwstr/>
      </vt:variant>
      <vt:variant>
        <vt:i4>131149</vt:i4>
      </vt:variant>
      <vt:variant>
        <vt:i4>252</vt:i4>
      </vt:variant>
      <vt:variant>
        <vt:i4>0</vt:i4>
      </vt:variant>
      <vt:variant>
        <vt:i4>5</vt:i4>
      </vt:variant>
      <vt:variant>
        <vt:lpwstr>https://turkishairlines.co2mission.com/en/offset/calculation</vt:lpwstr>
      </vt:variant>
      <vt:variant>
        <vt:lpwstr/>
      </vt:variant>
      <vt:variant>
        <vt:i4>589851</vt:i4>
      </vt:variant>
      <vt:variant>
        <vt:i4>249</vt:i4>
      </vt:variant>
      <vt:variant>
        <vt:i4>0</vt:i4>
      </vt:variant>
      <vt:variant>
        <vt:i4>5</vt:i4>
      </vt:variant>
      <vt:variant>
        <vt:lpwstr>https://quantis-suite.com/Scope-3-Evaluator/</vt:lpwstr>
      </vt:variant>
      <vt:variant>
        <vt:lpwstr/>
      </vt:variant>
      <vt:variant>
        <vt:i4>8323199</vt:i4>
      </vt:variant>
      <vt:variant>
        <vt:i4>246</vt:i4>
      </vt:variant>
      <vt:variant>
        <vt:i4>0</vt:i4>
      </vt:variant>
      <vt:variant>
        <vt:i4>5</vt:i4>
      </vt:variant>
      <vt:variant>
        <vt:lpwstr>https://www.researchgate.net/publication/319697995_A_Review_of_the_Carbon_Footprint_of_Cu_and_Zn_Production_from_Primary_and_Secondary_Sources</vt:lpwstr>
      </vt:variant>
      <vt:variant>
        <vt:lpwstr/>
      </vt:variant>
      <vt:variant>
        <vt:i4>5963814</vt:i4>
      </vt:variant>
      <vt:variant>
        <vt:i4>243</vt:i4>
      </vt:variant>
      <vt:variant>
        <vt:i4>0</vt:i4>
      </vt:variant>
      <vt:variant>
        <vt:i4>5</vt:i4>
      </vt:variant>
      <vt:variant>
        <vt:lpwstr>https://co2.myclimate.org/en/flight_calculators/new</vt:lpwstr>
      </vt:variant>
      <vt:variant>
        <vt:lpwstr/>
      </vt:variant>
      <vt:variant>
        <vt:i4>852068</vt:i4>
      </vt:variant>
      <vt:variant>
        <vt:i4>240</vt:i4>
      </vt:variant>
      <vt:variant>
        <vt:i4>0</vt:i4>
      </vt:variant>
      <vt:variant>
        <vt:i4>5</vt:i4>
      </vt:variant>
      <vt:variant>
        <vt:lpwstr>https://unstats.un.org/unsd/classifications/Econ/Download/In Text/Isic31_English.pdf</vt:lpwstr>
      </vt:variant>
      <vt:variant>
        <vt:lpwstr/>
      </vt:variant>
      <vt:variant>
        <vt:i4>6815802</vt:i4>
      </vt:variant>
      <vt:variant>
        <vt:i4>237</vt:i4>
      </vt:variant>
      <vt:variant>
        <vt:i4>0</vt:i4>
      </vt:variant>
      <vt:variant>
        <vt:i4>5</vt:i4>
      </vt:variant>
      <vt:variant>
        <vt:lpwstr>https://copperalliance.org/wp-content/uploads/2023/02/ICA-GlobalDecarbonization-202301-Final-singlepgs.pdf</vt:lpwstr>
      </vt:variant>
      <vt:variant>
        <vt:lpwstr/>
      </vt:variant>
      <vt:variant>
        <vt:i4>4653166</vt:i4>
      </vt:variant>
      <vt:variant>
        <vt:i4>234</vt:i4>
      </vt:variant>
      <vt:variant>
        <vt:i4>0</vt:i4>
      </vt:variant>
      <vt:variant>
        <vt:i4>5</vt:i4>
      </vt:variant>
      <vt:variant>
        <vt:lpwstr>https://ghgprotocol.org/sites/default/files/standards/Scope3_Calculation_Guidance_0.pdf</vt:lpwstr>
      </vt:variant>
      <vt:variant>
        <vt:lpwstr/>
      </vt:variant>
      <vt:variant>
        <vt:i4>2490429</vt:i4>
      </vt:variant>
      <vt:variant>
        <vt:i4>231</vt:i4>
      </vt:variant>
      <vt:variant>
        <vt:i4>0</vt:i4>
      </vt:variant>
      <vt:variant>
        <vt:i4>5</vt:i4>
      </vt:variant>
      <vt:variant>
        <vt:lpwstr>https://ghgprotocol.org/sites/default/files/standards/Corporate-Value-Chain-Accounting-Reporing-Standard_041613_2.pdf</vt:lpwstr>
      </vt:variant>
      <vt:variant>
        <vt:lpwstr/>
      </vt:variant>
      <vt:variant>
        <vt:i4>4128864</vt:i4>
      </vt:variant>
      <vt:variant>
        <vt:i4>228</vt:i4>
      </vt:variant>
      <vt:variant>
        <vt:i4>0</vt:i4>
      </vt:variant>
      <vt:variant>
        <vt:i4>5</vt:i4>
      </vt:variant>
      <vt:variant>
        <vt:lpwstr>https://www.thaiscience.info/Journals/Article/APER/10979994.pdf?form=MG0AV3</vt:lpwstr>
      </vt:variant>
      <vt:variant>
        <vt:lpwstr/>
      </vt:variant>
      <vt:variant>
        <vt:i4>2818082</vt:i4>
      </vt:variant>
      <vt:variant>
        <vt:i4>225</vt:i4>
      </vt:variant>
      <vt:variant>
        <vt:i4>0</vt:i4>
      </vt:variant>
      <vt:variant>
        <vt:i4>5</vt:i4>
      </vt:variant>
      <vt:variant>
        <vt:lpwstr>https://easyjet.southpole.com/</vt:lpwstr>
      </vt:variant>
      <vt:variant>
        <vt:lpwstr/>
      </vt:variant>
      <vt:variant>
        <vt:i4>2621542</vt:i4>
      </vt:variant>
      <vt:variant>
        <vt:i4>222</vt:i4>
      </vt:variant>
      <vt:variant>
        <vt:i4>0</vt:i4>
      </vt:variant>
      <vt:variant>
        <vt:i4>5</vt:i4>
      </vt:variant>
      <vt:variant>
        <vt:lpwstr>https://committees.parliament.uk/publications/7590/documents/79606/default/</vt:lpwstr>
      </vt:variant>
      <vt:variant>
        <vt:lpwstr/>
      </vt:variant>
      <vt:variant>
        <vt:i4>6684778</vt:i4>
      </vt:variant>
      <vt:variant>
        <vt:i4>219</vt:i4>
      </vt:variant>
      <vt:variant>
        <vt:i4>0</vt:i4>
      </vt:variant>
      <vt:variant>
        <vt:i4>5</vt:i4>
      </vt:variant>
      <vt:variant>
        <vt:lpwstr>https://www.gov.uk/government/publications/greenhouse-gas-reporting-conversion-factors-2024</vt:lpwstr>
      </vt:variant>
      <vt:variant>
        <vt:lpwstr/>
      </vt:variant>
      <vt:variant>
        <vt:i4>3080225</vt:i4>
      </vt:variant>
      <vt:variant>
        <vt:i4>216</vt:i4>
      </vt:variant>
      <vt:variant>
        <vt:i4>0</vt:i4>
      </vt:variant>
      <vt:variant>
        <vt:i4>5</vt:i4>
      </vt:variant>
      <vt:variant>
        <vt:lpwstr>https://link.springer.com/article/10.1007/s11367-015-1021-5</vt:lpwstr>
      </vt:variant>
      <vt:variant>
        <vt:lpwstr/>
      </vt:variant>
      <vt:variant>
        <vt:i4>8323194</vt:i4>
      </vt:variant>
      <vt:variant>
        <vt:i4>213</vt:i4>
      </vt:variant>
      <vt:variant>
        <vt:i4>0</vt:i4>
      </vt:variant>
      <vt:variant>
        <vt:i4>5</vt:i4>
      </vt:variant>
      <vt:variant>
        <vt:lpwstr>https://www.teck.com/media/Carbon-Footprint-of-Teck-Special-High-Grade-Zinc.pdf?form=MG0AV3&amp;form=MG0AV3</vt:lpwstr>
      </vt:variant>
      <vt:variant>
        <vt:lpwstr/>
      </vt:variant>
      <vt:variant>
        <vt:i4>2883667</vt:i4>
      </vt:variant>
      <vt:variant>
        <vt:i4>210</vt:i4>
      </vt:variant>
      <vt:variant>
        <vt:i4>0</vt:i4>
      </vt:variant>
      <vt:variant>
        <vt:i4>5</vt:i4>
      </vt:variant>
      <vt:variant>
        <vt:lpwstr>https://cdn.cdp.net/cdp-production/cms/guidance_docs/pdfs/000/003/504/original/CDP-technical-note-scope-3-relevance-by-sector.pdf</vt:lpwstr>
      </vt:variant>
      <vt:variant>
        <vt:lpwstr/>
      </vt:variant>
      <vt:variant>
        <vt:i4>7602296</vt:i4>
      </vt:variant>
      <vt:variant>
        <vt:i4>207</vt:i4>
      </vt:variant>
      <vt:variant>
        <vt:i4>0</vt:i4>
      </vt:variant>
      <vt:variant>
        <vt:i4>5</vt:i4>
      </vt:variant>
      <vt:variant>
        <vt:lpwstr>https://www.mgg-recycling.com/wp-content/uploads/2013/06/BIR_CO2_report.pdf</vt:lpwstr>
      </vt:variant>
      <vt:variant>
        <vt:lpwstr/>
      </vt:variant>
      <vt:variant>
        <vt:i4>2031704</vt:i4>
      </vt:variant>
      <vt:variant>
        <vt:i4>204</vt:i4>
      </vt:variant>
      <vt:variant>
        <vt:i4>0</vt:i4>
      </vt:variant>
      <vt:variant>
        <vt:i4>5</vt:i4>
      </vt:variant>
      <vt:variant>
        <vt:lpwstr>https://ba.chooose.today/</vt:lpwstr>
      </vt:variant>
      <vt:variant>
        <vt:lpwstr/>
      </vt:variant>
      <vt:variant>
        <vt:i4>5046292</vt:i4>
      </vt:variant>
      <vt:variant>
        <vt:i4>201</vt:i4>
      </vt:variant>
      <vt:variant>
        <vt:i4>0</vt:i4>
      </vt:variant>
      <vt:variant>
        <vt:i4>5</vt:i4>
      </vt:variant>
      <vt:variant>
        <vt:lpwstr>https://ecometrica.com/assets/Electricity-specific-emission-factors-for-grid-electricity.pdf</vt:lpwstr>
      </vt:variant>
      <vt:variant>
        <vt:lpwstr/>
      </vt:variant>
      <vt:variant>
        <vt:i4>1114161</vt:i4>
      </vt:variant>
      <vt:variant>
        <vt:i4>194</vt:i4>
      </vt:variant>
      <vt:variant>
        <vt:i4>0</vt:i4>
      </vt:variant>
      <vt:variant>
        <vt:i4>5</vt:i4>
      </vt:variant>
      <vt:variant>
        <vt:lpwstr/>
      </vt:variant>
      <vt:variant>
        <vt:lpwstr>_Toc194670390</vt:lpwstr>
      </vt:variant>
      <vt:variant>
        <vt:i4>1048625</vt:i4>
      </vt:variant>
      <vt:variant>
        <vt:i4>188</vt:i4>
      </vt:variant>
      <vt:variant>
        <vt:i4>0</vt:i4>
      </vt:variant>
      <vt:variant>
        <vt:i4>5</vt:i4>
      </vt:variant>
      <vt:variant>
        <vt:lpwstr/>
      </vt:variant>
      <vt:variant>
        <vt:lpwstr>_Toc194670389</vt:lpwstr>
      </vt:variant>
      <vt:variant>
        <vt:i4>1048625</vt:i4>
      </vt:variant>
      <vt:variant>
        <vt:i4>182</vt:i4>
      </vt:variant>
      <vt:variant>
        <vt:i4>0</vt:i4>
      </vt:variant>
      <vt:variant>
        <vt:i4>5</vt:i4>
      </vt:variant>
      <vt:variant>
        <vt:lpwstr/>
      </vt:variant>
      <vt:variant>
        <vt:lpwstr>_Toc194670388</vt:lpwstr>
      </vt:variant>
      <vt:variant>
        <vt:i4>1048625</vt:i4>
      </vt:variant>
      <vt:variant>
        <vt:i4>176</vt:i4>
      </vt:variant>
      <vt:variant>
        <vt:i4>0</vt:i4>
      </vt:variant>
      <vt:variant>
        <vt:i4>5</vt:i4>
      </vt:variant>
      <vt:variant>
        <vt:lpwstr/>
      </vt:variant>
      <vt:variant>
        <vt:lpwstr>_Toc194670387</vt:lpwstr>
      </vt:variant>
      <vt:variant>
        <vt:i4>1048625</vt:i4>
      </vt:variant>
      <vt:variant>
        <vt:i4>170</vt:i4>
      </vt:variant>
      <vt:variant>
        <vt:i4>0</vt:i4>
      </vt:variant>
      <vt:variant>
        <vt:i4>5</vt:i4>
      </vt:variant>
      <vt:variant>
        <vt:lpwstr/>
      </vt:variant>
      <vt:variant>
        <vt:lpwstr>_Toc194670386</vt:lpwstr>
      </vt:variant>
      <vt:variant>
        <vt:i4>1048625</vt:i4>
      </vt:variant>
      <vt:variant>
        <vt:i4>164</vt:i4>
      </vt:variant>
      <vt:variant>
        <vt:i4>0</vt:i4>
      </vt:variant>
      <vt:variant>
        <vt:i4>5</vt:i4>
      </vt:variant>
      <vt:variant>
        <vt:lpwstr/>
      </vt:variant>
      <vt:variant>
        <vt:lpwstr>_Toc194670385</vt:lpwstr>
      </vt:variant>
      <vt:variant>
        <vt:i4>1048625</vt:i4>
      </vt:variant>
      <vt:variant>
        <vt:i4>158</vt:i4>
      </vt:variant>
      <vt:variant>
        <vt:i4>0</vt:i4>
      </vt:variant>
      <vt:variant>
        <vt:i4>5</vt:i4>
      </vt:variant>
      <vt:variant>
        <vt:lpwstr/>
      </vt:variant>
      <vt:variant>
        <vt:lpwstr>_Toc194670384</vt:lpwstr>
      </vt:variant>
      <vt:variant>
        <vt:i4>1048625</vt:i4>
      </vt:variant>
      <vt:variant>
        <vt:i4>152</vt:i4>
      </vt:variant>
      <vt:variant>
        <vt:i4>0</vt:i4>
      </vt:variant>
      <vt:variant>
        <vt:i4>5</vt:i4>
      </vt:variant>
      <vt:variant>
        <vt:lpwstr/>
      </vt:variant>
      <vt:variant>
        <vt:lpwstr>_Toc194670383</vt:lpwstr>
      </vt:variant>
      <vt:variant>
        <vt:i4>1048625</vt:i4>
      </vt:variant>
      <vt:variant>
        <vt:i4>146</vt:i4>
      </vt:variant>
      <vt:variant>
        <vt:i4>0</vt:i4>
      </vt:variant>
      <vt:variant>
        <vt:i4>5</vt:i4>
      </vt:variant>
      <vt:variant>
        <vt:lpwstr/>
      </vt:variant>
      <vt:variant>
        <vt:lpwstr>_Toc194670382</vt:lpwstr>
      </vt:variant>
      <vt:variant>
        <vt:i4>1048625</vt:i4>
      </vt:variant>
      <vt:variant>
        <vt:i4>140</vt:i4>
      </vt:variant>
      <vt:variant>
        <vt:i4>0</vt:i4>
      </vt:variant>
      <vt:variant>
        <vt:i4>5</vt:i4>
      </vt:variant>
      <vt:variant>
        <vt:lpwstr/>
      </vt:variant>
      <vt:variant>
        <vt:lpwstr>_Toc194670381</vt:lpwstr>
      </vt:variant>
      <vt:variant>
        <vt:i4>1048625</vt:i4>
      </vt:variant>
      <vt:variant>
        <vt:i4>134</vt:i4>
      </vt:variant>
      <vt:variant>
        <vt:i4>0</vt:i4>
      </vt:variant>
      <vt:variant>
        <vt:i4>5</vt:i4>
      </vt:variant>
      <vt:variant>
        <vt:lpwstr/>
      </vt:variant>
      <vt:variant>
        <vt:lpwstr>_Toc194670380</vt:lpwstr>
      </vt:variant>
      <vt:variant>
        <vt:i4>2031665</vt:i4>
      </vt:variant>
      <vt:variant>
        <vt:i4>128</vt:i4>
      </vt:variant>
      <vt:variant>
        <vt:i4>0</vt:i4>
      </vt:variant>
      <vt:variant>
        <vt:i4>5</vt:i4>
      </vt:variant>
      <vt:variant>
        <vt:lpwstr/>
      </vt:variant>
      <vt:variant>
        <vt:lpwstr>_Toc194670379</vt:lpwstr>
      </vt:variant>
      <vt:variant>
        <vt:i4>2031665</vt:i4>
      </vt:variant>
      <vt:variant>
        <vt:i4>122</vt:i4>
      </vt:variant>
      <vt:variant>
        <vt:i4>0</vt:i4>
      </vt:variant>
      <vt:variant>
        <vt:i4>5</vt:i4>
      </vt:variant>
      <vt:variant>
        <vt:lpwstr/>
      </vt:variant>
      <vt:variant>
        <vt:lpwstr>_Toc194670378</vt:lpwstr>
      </vt:variant>
      <vt:variant>
        <vt:i4>2031665</vt:i4>
      </vt:variant>
      <vt:variant>
        <vt:i4>116</vt:i4>
      </vt:variant>
      <vt:variant>
        <vt:i4>0</vt:i4>
      </vt:variant>
      <vt:variant>
        <vt:i4>5</vt:i4>
      </vt:variant>
      <vt:variant>
        <vt:lpwstr/>
      </vt:variant>
      <vt:variant>
        <vt:lpwstr>_Toc194670377</vt:lpwstr>
      </vt:variant>
      <vt:variant>
        <vt:i4>2031665</vt:i4>
      </vt:variant>
      <vt:variant>
        <vt:i4>110</vt:i4>
      </vt:variant>
      <vt:variant>
        <vt:i4>0</vt:i4>
      </vt:variant>
      <vt:variant>
        <vt:i4>5</vt:i4>
      </vt:variant>
      <vt:variant>
        <vt:lpwstr/>
      </vt:variant>
      <vt:variant>
        <vt:lpwstr>_Toc194670376</vt:lpwstr>
      </vt:variant>
      <vt:variant>
        <vt:i4>2031665</vt:i4>
      </vt:variant>
      <vt:variant>
        <vt:i4>104</vt:i4>
      </vt:variant>
      <vt:variant>
        <vt:i4>0</vt:i4>
      </vt:variant>
      <vt:variant>
        <vt:i4>5</vt:i4>
      </vt:variant>
      <vt:variant>
        <vt:lpwstr/>
      </vt:variant>
      <vt:variant>
        <vt:lpwstr>_Toc194670375</vt:lpwstr>
      </vt:variant>
      <vt:variant>
        <vt:i4>2031665</vt:i4>
      </vt:variant>
      <vt:variant>
        <vt:i4>98</vt:i4>
      </vt:variant>
      <vt:variant>
        <vt:i4>0</vt:i4>
      </vt:variant>
      <vt:variant>
        <vt:i4>5</vt:i4>
      </vt:variant>
      <vt:variant>
        <vt:lpwstr/>
      </vt:variant>
      <vt:variant>
        <vt:lpwstr>_Toc194670374</vt:lpwstr>
      </vt:variant>
      <vt:variant>
        <vt:i4>2031665</vt:i4>
      </vt:variant>
      <vt:variant>
        <vt:i4>92</vt:i4>
      </vt:variant>
      <vt:variant>
        <vt:i4>0</vt:i4>
      </vt:variant>
      <vt:variant>
        <vt:i4>5</vt:i4>
      </vt:variant>
      <vt:variant>
        <vt:lpwstr/>
      </vt:variant>
      <vt:variant>
        <vt:lpwstr>_Toc194670373</vt:lpwstr>
      </vt:variant>
      <vt:variant>
        <vt:i4>2031665</vt:i4>
      </vt:variant>
      <vt:variant>
        <vt:i4>86</vt:i4>
      </vt:variant>
      <vt:variant>
        <vt:i4>0</vt:i4>
      </vt:variant>
      <vt:variant>
        <vt:i4>5</vt:i4>
      </vt:variant>
      <vt:variant>
        <vt:lpwstr/>
      </vt:variant>
      <vt:variant>
        <vt:lpwstr>_Toc194670372</vt:lpwstr>
      </vt:variant>
      <vt:variant>
        <vt:i4>2031665</vt:i4>
      </vt:variant>
      <vt:variant>
        <vt:i4>80</vt:i4>
      </vt:variant>
      <vt:variant>
        <vt:i4>0</vt:i4>
      </vt:variant>
      <vt:variant>
        <vt:i4>5</vt:i4>
      </vt:variant>
      <vt:variant>
        <vt:lpwstr/>
      </vt:variant>
      <vt:variant>
        <vt:lpwstr>_Toc194670371</vt:lpwstr>
      </vt:variant>
      <vt:variant>
        <vt:i4>2031665</vt:i4>
      </vt:variant>
      <vt:variant>
        <vt:i4>74</vt:i4>
      </vt:variant>
      <vt:variant>
        <vt:i4>0</vt:i4>
      </vt:variant>
      <vt:variant>
        <vt:i4>5</vt:i4>
      </vt:variant>
      <vt:variant>
        <vt:lpwstr/>
      </vt:variant>
      <vt:variant>
        <vt:lpwstr>_Toc194670370</vt:lpwstr>
      </vt:variant>
      <vt:variant>
        <vt:i4>1966129</vt:i4>
      </vt:variant>
      <vt:variant>
        <vt:i4>68</vt:i4>
      </vt:variant>
      <vt:variant>
        <vt:i4>0</vt:i4>
      </vt:variant>
      <vt:variant>
        <vt:i4>5</vt:i4>
      </vt:variant>
      <vt:variant>
        <vt:lpwstr/>
      </vt:variant>
      <vt:variant>
        <vt:lpwstr>_Toc194670369</vt:lpwstr>
      </vt:variant>
      <vt:variant>
        <vt:i4>1966129</vt:i4>
      </vt:variant>
      <vt:variant>
        <vt:i4>62</vt:i4>
      </vt:variant>
      <vt:variant>
        <vt:i4>0</vt:i4>
      </vt:variant>
      <vt:variant>
        <vt:i4>5</vt:i4>
      </vt:variant>
      <vt:variant>
        <vt:lpwstr/>
      </vt:variant>
      <vt:variant>
        <vt:lpwstr>_Toc194670368</vt:lpwstr>
      </vt:variant>
      <vt:variant>
        <vt:i4>1966129</vt:i4>
      </vt:variant>
      <vt:variant>
        <vt:i4>56</vt:i4>
      </vt:variant>
      <vt:variant>
        <vt:i4>0</vt:i4>
      </vt:variant>
      <vt:variant>
        <vt:i4>5</vt:i4>
      </vt:variant>
      <vt:variant>
        <vt:lpwstr/>
      </vt:variant>
      <vt:variant>
        <vt:lpwstr>_Toc194670367</vt:lpwstr>
      </vt:variant>
      <vt:variant>
        <vt:i4>1966129</vt:i4>
      </vt:variant>
      <vt:variant>
        <vt:i4>50</vt:i4>
      </vt:variant>
      <vt:variant>
        <vt:i4>0</vt:i4>
      </vt:variant>
      <vt:variant>
        <vt:i4>5</vt:i4>
      </vt:variant>
      <vt:variant>
        <vt:lpwstr/>
      </vt:variant>
      <vt:variant>
        <vt:lpwstr>_Toc194670366</vt:lpwstr>
      </vt:variant>
      <vt:variant>
        <vt:i4>1966129</vt:i4>
      </vt:variant>
      <vt:variant>
        <vt:i4>44</vt:i4>
      </vt:variant>
      <vt:variant>
        <vt:i4>0</vt:i4>
      </vt:variant>
      <vt:variant>
        <vt:i4>5</vt:i4>
      </vt:variant>
      <vt:variant>
        <vt:lpwstr/>
      </vt:variant>
      <vt:variant>
        <vt:lpwstr>_Toc194670365</vt:lpwstr>
      </vt:variant>
      <vt:variant>
        <vt:i4>1966129</vt:i4>
      </vt:variant>
      <vt:variant>
        <vt:i4>38</vt:i4>
      </vt:variant>
      <vt:variant>
        <vt:i4>0</vt:i4>
      </vt:variant>
      <vt:variant>
        <vt:i4>5</vt:i4>
      </vt:variant>
      <vt:variant>
        <vt:lpwstr/>
      </vt:variant>
      <vt:variant>
        <vt:lpwstr>_Toc194670364</vt:lpwstr>
      </vt:variant>
      <vt:variant>
        <vt:i4>1966129</vt:i4>
      </vt:variant>
      <vt:variant>
        <vt:i4>32</vt:i4>
      </vt:variant>
      <vt:variant>
        <vt:i4>0</vt:i4>
      </vt:variant>
      <vt:variant>
        <vt:i4>5</vt:i4>
      </vt:variant>
      <vt:variant>
        <vt:lpwstr/>
      </vt:variant>
      <vt:variant>
        <vt:lpwstr>_Toc194670363</vt:lpwstr>
      </vt:variant>
      <vt:variant>
        <vt:i4>1966129</vt:i4>
      </vt:variant>
      <vt:variant>
        <vt:i4>26</vt:i4>
      </vt:variant>
      <vt:variant>
        <vt:i4>0</vt:i4>
      </vt:variant>
      <vt:variant>
        <vt:i4>5</vt:i4>
      </vt:variant>
      <vt:variant>
        <vt:lpwstr/>
      </vt:variant>
      <vt:variant>
        <vt:lpwstr>_Toc194670362</vt:lpwstr>
      </vt:variant>
      <vt:variant>
        <vt:i4>1966129</vt:i4>
      </vt:variant>
      <vt:variant>
        <vt:i4>20</vt:i4>
      </vt:variant>
      <vt:variant>
        <vt:i4>0</vt:i4>
      </vt:variant>
      <vt:variant>
        <vt:i4>5</vt:i4>
      </vt:variant>
      <vt:variant>
        <vt:lpwstr/>
      </vt:variant>
      <vt:variant>
        <vt:lpwstr>_Toc194670361</vt:lpwstr>
      </vt:variant>
      <vt:variant>
        <vt:i4>1966129</vt:i4>
      </vt:variant>
      <vt:variant>
        <vt:i4>14</vt:i4>
      </vt:variant>
      <vt:variant>
        <vt:i4>0</vt:i4>
      </vt:variant>
      <vt:variant>
        <vt:i4>5</vt:i4>
      </vt:variant>
      <vt:variant>
        <vt:lpwstr/>
      </vt:variant>
      <vt:variant>
        <vt:lpwstr>_Toc194670360</vt:lpwstr>
      </vt:variant>
      <vt:variant>
        <vt:i4>1900593</vt:i4>
      </vt:variant>
      <vt:variant>
        <vt:i4>8</vt:i4>
      </vt:variant>
      <vt:variant>
        <vt:i4>0</vt:i4>
      </vt:variant>
      <vt:variant>
        <vt:i4>5</vt:i4>
      </vt:variant>
      <vt:variant>
        <vt:lpwstr/>
      </vt:variant>
      <vt:variant>
        <vt:lpwstr>_Toc194670359</vt:lpwstr>
      </vt:variant>
      <vt:variant>
        <vt:i4>1900593</vt:i4>
      </vt:variant>
      <vt:variant>
        <vt:i4>2</vt:i4>
      </vt:variant>
      <vt:variant>
        <vt:i4>0</vt:i4>
      </vt:variant>
      <vt:variant>
        <vt:i4>5</vt:i4>
      </vt:variant>
      <vt:variant>
        <vt:lpwstr/>
      </vt:variant>
      <vt:variant>
        <vt:lpwstr>_Toc194670358</vt:lpwstr>
      </vt:variant>
      <vt:variant>
        <vt:i4>5898292</vt:i4>
      </vt:variant>
      <vt:variant>
        <vt:i4>102</vt:i4>
      </vt:variant>
      <vt:variant>
        <vt:i4>0</vt:i4>
      </vt:variant>
      <vt:variant>
        <vt:i4>5</vt:i4>
      </vt:variant>
      <vt:variant>
        <vt:lpwstr>https://www3.epa.gov/ttnchie1/ap42/ch12/final/c12s11_2010.pdf</vt:lpwstr>
      </vt:variant>
      <vt:variant>
        <vt:lpwstr/>
      </vt:variant>
      <vt:variant>
        <vt:i4>7602296</vt:i4>
      </vt:variant>
      <vt:variant>
        <vt:i4>99</vt:i4>
      </vt:variant>
      <vt:variant>
        <vt:i4>0</vt:i4>
      </vt:variant>
      <vt:variant>
        <vt:i4>5</vt:i4>
      </vt:variant>
      <vt:variant>
        <vt:lpwstr>https://www.mgg-recycling.com/wp-content/uploads/2013/06/BIR_CO2_report.pdf</vt:lpwstr>
      </vt:variant>
      <vt:variant>
        <vt:lpwstr/>
      </vt:variant>
      <vt:variant>
        <vt:i4>6815802</vt:i4>
      </vt:variant>
      <vt:variant>
        <vt:i4>96</vt:i4>
      </vt:variant>
      <vt:variant>
        <vt:i4>0</vt:i4>
      </vt:variant>
      <vt:variant>
        <vt:i4>5</vt:i4>
      </vt:variant>
      <vt:variant>
        <vt:lpwstr>https://copperalliance.org/wp-content/uploads/2023/02/ICA-GlobalDecarbonization-202301-Final-singlepgs.pdf</vt:lpwstr>
      </vt:variant>
      <vt:variant>
        <vt:lpwstr/>
      </vt:variant>
      <vt:variant>
        <vt:i4>5898292</vt:i4>
      </vt:variant>
      <vt:variant>
        <vt:i4>93</vt:i4>
      </vt:variant>
      <vt:variant>
        <vt:i4>0</vt:i4>
      </vt:variant>
      <vt:variant>
        <vt:i4>5</vt:i4>
      </vt:variant>
      <vt:variant>
        <vt:lpwstr>https://www3.epa.gov/ttnchie1/ap42/ch12/final/c12s11_2010.pdf</vt:lpwstr>
      </vt:variant>
      <vt:variant>
        <vt:lpwstr/>
      </vt:variant>
      <vt:variant>
        <vt:i4>8323199</vt:i4>
      </vt:variant>
      <vt:variant>
        <vt:i4>90</vt:i4>
      </vt:variant>
      <vt:variant>
        <vt:i4>0</vt:i4>
      </vt:variant>
      <vt:variant>
        <vt:i4>5</vt:i4>
      </vt:variant>
      <vt:variant>
        <vt:lpwstr>https://www.researchgate.net/publication/319697995_A_Review_of_the_Carbon_Footprint_of_Cu_and_Zn_Production_from_Primary_and_Secondary_Sources</vt:lpwstr>
      </vt:variant>
      <vt:variant>
        <vt:lpwstr/>
      </vt:variant>
      <vt:variant>
        <vt:i4>7602296</vt:i4>
      </vt:variant>
      <vt:variant>
        <vt:i4>87</vt:i4>
      </vt:variant>
      <vt:variant>
        <vt:i4>0</vt:i4>
      </vt:variant>
      <vt:variant>
        <vt:i4>5</vt:i4>
      </vt:variant>
      <vt:variant>
        <vt:lpwstr>https://www.mgg-recycling.com/wp-content/uploads/2013/06/BIR_CO2_report.pdf</vt:lpwstr>
      </vt:variant>
      <vt:variant>
        <vt:lpwstr/>
      </vt:variant>
      <vt:variant>
        <vt:i4>4128864</vt:i4>
      </vt:variant>
      <vt:variant>
        <vt:i4>84</vt:i4>
      </vt:variant>
      <vt:variant>
        <vt:i4>0</vt:i4>
      </vt:variant>
      <vt:variant>
        <vt:i4>5</vt:i4>
      </vt:variant>
      <vt:variant>
        <vt:lpwstr>https://www.thaiscience.info/Journals/Article/APER/10979994.pdf?form=MG0AV3</vt:lpwstr>
      </vt:variant>
      <vt:variant>
        <vt:lpwstr/>
      </vt:variant>
      <vt:variant>
        <vt:i4>6815802</vt:i4>
      </vt:variant>
      <vt:variant>
        <vt:i4>81</vt:i4>
      </vt:variant>
      <vt:variant>
        <vt:i4>0</vt:i4>
      </vt:variant>
      <vt:variant>
        <vt:i4>5</vt:i4>
      </vt:variant>
      <vt:variant>
        <vt:lpwstr>https://copperalliance.org/wp-content/uploads/2023/02/ICA-GlobalDecarbonization-202301-Final-singlepgs.pdf</vt:lpwstr>
      </vt:variant>
      <vt:variant>
        <vt:lpwstr/>
      </vt:variant>
      <vt:variant>
        <vt:i4>2687094</vt:i4>
      </vt:variant>
      <vt:variant>
        <vt:i4>78</vt:i4>
      </vt:variant>
      <vt:variant>
        <vt:i4>0</vt:i4>
      </vt:variant>
      <vt:variant>
        <vt:i4>5</vt:i4>
      </vt:variant>
      <vt:variant>
        <vt:lpwstr>https://nepis.epa.gov/Exe/tiff2png.cgi/94001BY2</vt:lpwstr>
      </vt:variant>
      <vt:variant>
        <vt:lpwstr/>
      </vt:variant>
      <vt:variant>
        <vt:i4>4128864</vt:i4>
      </vt:variant>
      <vt:variant>
        <vt:i4>75</vt:i4>
      </vt:variant>
      <vt:variant>
        <vt:i4>0</vt:i4>
      </vt:variant>
      <vt:variant>
        <vt:i4>5</vt:i4>
      </vt:variant>
      <vt:variant>
        <vt:lpwstr>https://www.thaiscience.info/Journals/Article/APER/10979994.pdf?form=MG0AV3</vt:lpwstr>
      </vt:variant>
      <vt:variant>
        <vt:lpwstr/>
      </vt:variant>
      <vt:variant>
        <vt:i4>6815802</vt:i4>
      </vt:variant>
      <vt:variant>
        <vt:i4>72</vt:i4>
      </vt:variant>
      <vt:variant>
        <vt:i4>0</vt:i4>
      </vt:variant>
      <vt:variant>
        <vt:i4>5</vt:i4>
      </vt:variant>
      <vt:variant>
        <vt:lpwstr>https://copperalliance.org/wp-content/uploads/2023/02/ICA-GlobalDecarbonization-202301-Final-singlepgs.pdf</vt:lpwstr>
      </vt:variant>
      <vt:variant>
        <vt:lpwstr/>
      </vt:variant>
      <vt:variant>
        <vt:i4>3670120</vt:i4>
      </vt:variant>
      <vt:variant>
        <vt:i4>69</vt:i4>
      </vt:variant>
      <vt:variant>
        <vt:i4>0</vt:i4>
      </vt:variant>
      <vt:variant>
        <vt:i4>5</vt:i4>
      </vt:variant>
      <vt:variant>
        <vt:lpwstr>https://www.unep.org/explore-topics/chemicals-waste/what-we-do/emerging-issues/used-lead-acid-batteries-ulab-waste-lead</vt:lpwstr>
      </vt:variant>
      <vt:variant>
        <vt:lpwstr/>
      </vt:variant>
      <vt:variant>
        <vt:i4>3080225</vt:i4>
      </vt:variant>
      <vt:variant>
        <vt:i4>66</vt:i4>
      </vt:variant>
      <vt:variant>
        <vt:i4>0</vt:i4>
      </vt:variant>
      <vt:variant>
        <vt:i4>5</vt:i4>
      </vt:variant>
      <vt:variant>
        <vt:lpwstr>https://link.springer.com/article/10.1007/s11367-015-1021-5</vt:lpwstr>
      </vt:variant>
      <vt:variant>
        <vt:lpwstr/>
      </vt:variant>
      <vt:variant>
        <vt:i4>1572871</vt:i4>
      </vt:variant>
      <vt:variant>
        <vt:i4>63</vt:i4>
      </vt:variant>
      <vt:variant>
        <vt:i4>0</vt:i4>
      </vt:variant>
      <vt:variant>
        <vt:i4>5</vt:i4>
      </vt:variant>
      <vt:variant>
        <vt:lpwstr>https://www.epa.gov/system/files/documents/2025-01/ghg-emission-factors-hub-2025.pdf</vt:lpwstr>
      </vt:variant>
      <vt:variant>
        <vt:lpwstr/>
      </vt:variant>
      <vt:variant>
        <vt:i4>5374019</vt:i4>
      </vt:variant>
      <vt:variant>
        <vt:i4>60</vt:i4>
      </vt:variant>
      <vt:variant>
        <vt:i4>0</vt:i4>
      </vt:variant>
      <vt:variant>
        <vt:i4>5</vt:i4>
      </vt:variant>
      <vt:variant>
        <vt:lpwstr>https://foi.tfl.gov.uk/FOI-3373-2324/FOI-3373.pdf</vt:lpwstr>
      </vt:variant>
      <vt:variant>
        <vt:lpwstr/>
      </vt:variant>
      <vt:variant>
        <vt:i4>2621542</vt:i4>
      </vt:variant>
      <vt:variant>
        <vt:i4>57</vt:i4>
      </vt:variant>
      <vt:variant>
        <vt:i4>0</vt:i4>
      </vt:variant>
      <vt:variant>
        <vt:i4>5</vt:i4>
      </vt:variant>
      <vt:variant>
        <vt:lpwstr>https://committees.parliament.uk/publications/7590/documents/79606/default/</vt:lpwstr>
      </vt:variant>
      <vt:variant>
        <vt:lpwstr/>
      </vt:variant>
      <vt:variant>
        <vt:i4>5963814</vt:i4>
      </vt:variant>
      <vt:variant>
        <vt:i4>54</vt:i4>
      </vt:variant>
      <vt:variant>
        <vt:i4>0</vt:i4>
      </vt:variant>
      <vt:variant>
        <vt:i4>5</vt:i4>
      </vt:variant>
      <vt:variant>
        <vt:lpwstr>https://co2.myclimate.org/en/flight_calculators/new</vt:lpwstr>
      </vt:variant>
      <vt:variant>
        <vt:lpwstr/>
      </vt:variant>
      <vt:variant>
        <vt:i4>4063281</vt:i4>
      </vt:variant>
      <vt:variant>
        <vt:i4>51</vt:i4>
      </vt:variant>
      <vt:variant>
        <vt:i4>0</vt:i4>
      </vt:variant>
      <vt:variant>
        <vt:i4>5</vt:i4>
      </vt:variant>
      <vt:variant>
        <vt:lpwstr>https://wizzair.chooose.today/</vt:lpwstr>
      </vt:variant>
      <vt:variant>
        <vt:lpwstr/>
      </vt:variant>
      <vt:variant>
        <vt:i4>2818082</vt:i4>
      </vt:variant>
      <vt:variant>
        <vt:i4>48</vt:i4>
      </vt:variant>
      <vt:variant>
        <vt:i4>0</vt:i4>
      </vt:variant>
      <vt:variant>
        <vt:i4>5</vt:i4>
      </vt:variant>
      <vt:variant>
        <vt:lpwstr>https://easyjet.southpole.com/</vt:lpwstr>
      </vt:variant>
      <vt:variant>
        <vt:lpwstr/>
      </vt:variant>
      <vt:variant>
        <vt:i4>2031704</vt:i4>
      </vt:variant>
      <vt:variant>
        <vt:i4>45</vt:i4>
      </vt:variant>
      <vt:variant>
        <vt:i4>0</vt:i4>
      </vt:variant>
      <vt:variant>
        <vt:i4>5</vt:i4>
      </vt:variant>
      <vt:variant>
        <vt:lpwstr>https://ba.chooose.today/</vt:lpwstr>
      </vt:variant>
      <vt:variant>
        <vt:lpwstr/>
      </vt:variant>
      <vt:variant>
        <vt:i4>3211276</vt:i4>
      </vt:variant>
      <vt:variant>
        <vt:i4>42</vt:i4>
      </vt:variant>
      <vt:variant>
        <vt:i4>0</vt:i4>
      </vt:variant>
      <vt:variant>
        <vt:i4>5</vt:i4>
      </vt:variant>
      <vt:variant>
        <vt:lpwstr>https://ghgprotocol.org/sites/default/files/2023-03/Scope3_Calculation_Guidance_0%5B1%5D.pdf</vt:lpwstr>
      </vt:variant>
      <vt:variant>
        <vt:lpwstr/>
      </vt:variant>
      <vt:variant>
        <vt:i4>8192112</vt:i4>
      </vt:variant>
      <vt:variant>
        <vt:i4>39</vt:i4>
      </vt:variant>
      <vt:variant>
        <vt:i4>0</vt:i4>
      </vt:variant>
      <vt:variant>
        <vt:i4>5</vt:i4>
      </vt:variant>
      <vt:variant>
        <vt:lpwstr>https://www.sciencedirect.com/science/article/pii/S0921344915301245?via%3Dihub</vt:lpwstr>
      </vt:variant>
      <vt:variant>
        <vt:lpwstr/>
      </vt:variant>
      <vt:variant>
        <vt:i4>6684778</vt:i4>
      </vt:variant>
      <vt:variant>
        <vt:i4>36</vt:i4>
      </vt:variant>
      <vt:variant>
        <vt:i4>0</vt:i4>
      </vt:variant>
      <vt:variant>
        <vt:i4>5</vt:i4>
      </vt:variant>
      <vt:variant>
        <vt:lpwstr>https://www.gov.uk/government/publications/greenhouse-gas-reporting-conversion-factors-2024</vt:lpwstr>
      </vt:variant>
      <vt:variant>
        <vt:lpwstr/>
      </vt:variant>
      <vt:variant>
        <vt:i4>1572871</vt:i4>
      </vt:variant>
      <vt:variant>
        <vt:i4>33</vt:i4>
      </vt:variant>
      <vt:variant>
        <vt:i4>0</vt:i4>
      </vt:variant>
      <vt:variant>
        <vt:i4>5</vt:i4>
      </vt:variant>
      <vt:variant>
        <vt:lpwstr>https://www.epa.gov/system/files/documents/2025-01/ghg-emission-factors-hub-2025.pdf</vt:lpwstr>
      </vt:variant>
      <vt:variant>
        <vt:lpwstr/>
      </vt:variant>
      <vt:variant>
        <vt:i4>1572871</vt:i4>
      </vt:variant>
      <vt:variant>
        <vt:i4>30</vt:i4>
      </vt:variant>
      <vt:variant>
        <vt:i4>0</vt:i4>
      </vt:variant>
      <vt:variant>
        <vt:i4>5</vt:i4>
      </vt:variant>
      <vt:variant>
        <vt:lpwstr>https://www.epa.gov/system/files/documents/2025-01/ghg-emission-factors-hub-2025.pdf</vt:lpwstr>
      </vt:variant>
      <vt:variant>
        <vt:lpwstr/>
      </vt:variant>
      <vt:variant>
        <vt:i4>5046292</vt:i4>
      </vt:variant>
      <vt:variant>
        <vt:i4>27</vt:i4>
      </vt:variant>
      <vt:variant>
        <vt:i4>0</vt:i4>
      </vt:variant>
      <vt:variant>
        <vt:i4>5</vt:i4>
      </vt:variant>
      <vt:variant>
        <vt:lpwstr>https://ecometrica.com/assets/Electricity-specific-emission-factors-for-grid-electricity.pdf</vt:lpwstr>
      </vt:variant>
      <vt:variant>
        <vt:lpwstr/>
      </vt:variant>
      <vt:variant>
        <vt:i4>589851</vt:i4>
      </vt:variant>
      <vt:variant>
        <vt:i4>24</vt:i4>
      </vt:variant>
      <vt:variant>
        <vt:i4>0</vt:i4>
      </vt:variant>
      <vt:variant>
        <vt:i4>5</vt:i4>
      </vt:variant>
      <vt:variant>
        <vt:lpwstr>https://quantis-suite.com/Scope-3-Evaluator/</vt:lpwstr>
      </vt:variant>
      <vt:variant>
        <vt:lpwstr/>
      </vt:variant>
      <vt:variant>
        <vt:i4>589851</vt:i4>
      </vt:variant>
      <vt:variant>
        <vt:i4>21</vt:i4>
      </vt:variant>
      <vt:variant>
        <vt:i4>0</vt:i4>
      </vt:variant>
      <vt:variant>
        <vt:i4>5</vt:i4>
      </vt:variant>
      <vt:variant>
        <vt:lpwstr>https://quantis-suite.com/Scope-3-Evaluator/</vt:lpwstr>
      </vt:variant>
      <vt:variant>
        <vt:lpwstr/>
      </vt:variant>
      <vt:variant>
        <vt:i4>589851</vt:i4>
      </vt:variant>
      <vt:variant>
        <vt:i4>18</vt:i4>
      </vt:variant>
      <vt:variant>
        <vt:i4>0</vt:i4>
      </vt:variant>
      <vt:variant>
        <vt:i4>5</vt:i4>
      </vt:variant>
      <vt:variant>
        <vt:lpwstr>https://quantis-suite.com/Scope-3-Evaluator/</vt:lpwstr>
      </vt:variant>
      <vt:variant>
        <vt:lpwstr/>
      </vt:variant>
      <vt:variant>
        <vt:i4>3211276</vt:i4>
      </vt:variant>
      <vt:variant>
        <vt:i4>15</vt:i4>
      </vt:variant>
      <vt:variant>
        <vt:i4>0</vt:i4>
      </vt:variant>
      <vt:variant>
        <vt:i4>5</vt:i4>
      </vt:variant>
      <vt:variant>
        <vt:lpwstr>https://ghgprotocol.org/sites/default/files/2023-03/Scope3_Calculation_Guidance_0%5B1%5D.pdf</vt:lpwstr>
      </vt:variant>
      <vt:variant>
        <vt:lpwstr/>
      </vt:variant>
      <vt:variant>
        <vt:i4>5701733</vt:i4>
      </vt:variant>
      <vt:variant>
        <vt:i4>9</vt:i4>
      </vt:variant>
      <vt:variant>
        <vt:i4>0</vt:i4>
      </vt:variant>
      <vt:variant>
        <vt:i4>5</vt:i4>
      </vt:variant>
      <vt:variant>
        <vt:lpwstr>https://ghgprotocol.org/sites/default/files/2022-12/Required gases and GWP values_0.pdf</vt:lpwstr>
      </vt:variant>
      <vt:variant>
        <vt:lpwstr/>
      </vt:variant>
      <vt:variant>
        <vt:i4>2490429</vt:i4>
      </vt:variant>
      <vt:variant>
        <vt:i4>6</vt:i4>
      </vt:variant>
      <vt:variant>
        <vt:i4>0</vt:i4>
      </vt:variant>
      <vt:variant>
        <vt:i4>5</vt:i4>
      </vt:variant>
      <vt:variant>
        <vt:lpwstr>https://ghgprotocol.org/sites/default/files/standards/Corporate-Value-Chain-Accounting-Reporing-Standard_041613_2.pdf</vt:lpwstr>
      </vt:variant>
      <vt:variant>
        <vt:lpwstr/>
      </vt:variant>
      <vt:variant>
        <vt:i4>1441893</vt:i4>
      </vt:variant>
      <vt:variant>
        <vt:i4>3</vt:i4>
      </vt:variant>
      <vt:variant>
        <vt:i4>0</vt:i4>
      </vt:variant>
      <vt:variant>
        <vt:i4>5</vt:i4>
      </vt:variant>
      <vt:variant>
        <vt:lpwstr/>
      </vt:variant>
      <vt:variant>
        <vt:lpwstr>_Appendix_3_–</vt:lpwstr>
      </vt:variant>
      <vt:variant>
        <vt:i4>1441893</vt:i4>
      </vt:variant>
      <vt:variant>
        <vt:i4>0</vt:i4>
      </vt:variant>
      <vt:variant>
        <vt:i4>0</vt:i4>
      </vt:variant>
      <vt:variant>
        <vt:i4>5</vt:i4>
      </vt:variant>
      <vt:variant>
        <vt:lpwstr/>
      </vt:variant>
      <vt:variant>
        <vt:lpwstr>_Appendix_3_–</vt:lpwstr>
      </vt:variant>
      <vt:variant>
        <vt:i4>6946819</vt:i4>
      </vt:variant>
      <vt:variant>
        <vt:i4>48</vt:i4>
      </vt:variant>
      <vt:variant>
        <vt:i4>0</vt:i4>
      </vt:variant>
      <vt:variant>
        <vt:i4>5</vt:i4>
      </vt:variant>
      <vt:variant>
        <vt:lpwstr>mailto:tom.loveridge@centralasiametals.com</vt:lpwstr>
      </vt:variant>
      <vt:variant>
        <vt:lpwstr/>
      </vt:variant>
      <vt:variant>
        <vt:i4>3276871</vt:i4>
      </vt:variant>
      <vt:variant>
        <vt:i4>45</vt:i4>
      </vt:variant>
      <vt:variant>
        <vt:i4>0</vt:i4>
      </vt:variant>
      <vt:variant>
        <vt:i4>5</vt:i4>
      </vt:variant>
      <vt:variant>
        <vt:lpwstr>mailto:anastasiya.savchenko@centralasiametals.com</vt:lpwstr>
      </vt:variant>
      <vt:variant>
        <vt:lpwstr/>
      </vt:variant>
      <vt:variant>
        <vt:i4>3276871</vt:i4>
      </vt:variant>
      <vt:variant>
        <vt:i4>42</vt:i4>
      </vt:variant>
      <vt:variant>
        <vt:i4>0</vt:i4>
      </vt:variant>
      <vt:variant>
        <vt:i4>5</vt:i4>
      </vt:variant>
      <vt:variant>
        <vt:lpwstr>mailto:anastasiya.savchenko@centralasiametals.com</vt:lpwstr>
      </vt:variant>
      <vt:variant>
        <vt:lpwstr/>
      </vt:variant>
      <vt:variant>
        <vt:i4>3276871</vt:i4>
      </vt:variant>
      <vt:variant>
        <vt:i4>39</vt:i4>
      </vt:variant>
      <vt:variant>
        <vt:i4>0</vt:i4>
      </vt:variant>
      <vt:variant>
        <vt:i4>5</vt:i4>
      </vt:variant>
      <vt:variant>
        <vt:lpwstr>mailto:anastasiya.savchenko@centralasiametals.com</vt:lpwstr>
      </vt:variant>
      <vt:variant>
        <vt:lpwstr/>
      </vt:variant>
      <vt:variant>
        <vt:i4>6488083</vt:i4>
      </vt:variant>
      <vt:variant>
        <vt:i4>36</vt:i4>
      </vt:variant>
      <vt:variant>
        <vt:i4>0</vt:i4>
      </vt:variant>
      <vt:variant>
        <vt:i4>5</vt:i4>
      </vt:variant>
      <vt:variant>
        <vt:lpwstr>mailto:megan.farrell@centralasiametals.com</vt:lpwstr>
      </vt:variant>
      <vt:variant>
        <vt:lpwstr/>
      </vt:variant>
      <vt:variant>
        <vt:i4>6946819</vt:i4>
      </vt:variant>
      <vt:variant>
        <vt:i4>33</vt:i4>
      </vt:variant>
      <vt:variant>
        <vt:i4>0</vt:i4>
      </vt:variant>
      <vt:variant>
        <vt:i4>5</vt:i4>
      </vt:variant>
      <vt:variant>
        <vt:lpwstr>mailto:tom.loveridge@centralasiametals.com</vt:lpwstr>
      </vt:variant>
      <vt:variant>
        <vt:lpwstr/>
      </vt:variant>
      <vt:variant>
        <vt:i4>6488083</vt:i4>
      </vt:variant>
      <vt:variant>
        <vt:i4>30</vt:i4>
      </vt:variant>
      <vt:variant>
        <vt:i4>0</vt:i4>
      </vt:variant>
      <vt:variant>
        <vt:i4>5</vt:i4>
      </vt:variant>
      <vt:variant>
        <vt:lpwstr>mailto:megan.farrell@centralasiametals.com</vt:lpwstr>
      </vt:variant>
      <vt:variant>
        <vt:lpwstr/>
      </vt:variant>
      <vt:variant>
        <vt:i4>6946819</vt:i4>
      </vt:variant>
      <vt:variant>
        <vt:i4>27</vt:i4>
      </vt:variant>
      <vt:variant>
        <vt:i4>0</vt:i4>
      </vt:variant>
      <vt:variant>
        <vt:i4>5</vt:i4>
      </vt:variant>
      <vt:variant>
        <vt:lpwstr>mailto:tom.loveridge@centralasiametals.com</vt:lpwstr>
      </vt:variant>
      <vt:variant>
        <vt:lpwstr/>
      </vt:variant>
      <vt:variant>
        <vt:i4>3276871</vt:i4>
      </vt:variant>
      <vt:variant>
        <vt:i4>24</vt:i4>
      </vt:variant>
      <vt:variant>
        <vt:i4>0</vt:i4>
      </vt:variant>
      <vt:variant>
        <vt:i4>5</vt:i4>
      </vt:variant>
      <vt:variant>
        <vt:lpwstr>mailto:anastasiya.savchenko@centralasiametals.com</vt:lpwstr>
      </vt:variant>
      <vt:variant>
        <vt:lpwstr/>
      </vt:variant>
      <vt:variant>
        <vt:i4>6488083</vt:i4>
      </vt:variant>
      <vt:variant>
        <vt:i4>21</vt:i4>
      </vt:variant>
      <vt:variant>
        <vt:i4>0</vt:i4>
      </vt:variant>
      <vt:variant>
        <vt:i4>5</vt:i4>
      </vt:variant>
      <vt:variant>
        <vt:lpwstr>mailto:megan.farrell@centralasiametals.com</vt:lpwstr>
      </vt:variant>
      <vt:variant>
        <vt:lpwstr/>
      </vt:variant>
      <vt:variant>
        <vt:i4>6946819</vt:i4>
      </vt:variant>
      <vt:variant>
        <vt:i4>18</vt:i4>
      </vt:variant>
      <vt:variant>
        <vt:i4>0</vt:i4>
      </vt:variant>
      <vt:variant>
        <vt:i4>5</vt:i4>
      </vt:variant>
      <vt:variant>
        <vt:lpwstr>mailto:tom.loveridge@centralasiametals.com</vt:lpwstr>
      </vt:variant>
      <vt:variant>
        <vt:lpwstr/>
      </vt:variant>
      <vt:variant>
        <vt:i4>3276871</vt:i4>
      </vt:variant>
      <vt:variant>
        <vt:i4>15</vt:i4>
      </vt:variant>
      <vt:variant>
        <vt:i4>0</vt:i4>
      </vt:variant>
      <vt:variant>
        <vt:i4>5</vt:i4>
      </vt:variant>
      <vt:variant>
        <vt:lpwstr>mailto:anastasiya.savchenko@centralasiametals.com</vt:lpwstr>
      </vt:variant>
      <vt:variant>
        <vt:lpwstr/>
      </vt:variant>
      <vt:variant>
        <vt:i4>6488083</vt:i4>
      </vt:variant>
      <vt:variant>
        <vt:i4>12</vt:i4>
      </vt:variant>
      <vt:variant>
        <vt:i4>0</vt:i4>
      </vt:variant>
      <vt:variant>
        <vt:i4>5</vt:i4>
      </vt:variant>
      <vt:variant>
        <vt:lpwstr>mailto:megan.farrell@centralasiametals.com</vt:lpwstr>
      </vt:variant>
      <vt:variant>
        <vt:lpwstr/>
      </vt:variant>
      <vt:variant>
        <vt:i4>6946819</vt:i4>
      </vt:variant>
      <vt:variant>
        <vt:i4>9</vt:i4>
      </vt:variant>
      <vt:variant>
        <vt:i4>0</vt:i4>
      </vt:variant>
      <vt:variant>
        <vt:i4>5</vt:i4>
      </vt:variant>
      <vt:variant>
        <vt:lpwstr>mailto:tom.loveridge@centralasiametals.com</vt:lpwstr>
      </vt:variant>
      <vt:variant>
        <vt:lpwstr/>
      </vt:variant>
      <vt:variant>
        <vt:i4>3276871</vt:i4>
      </vt:variant>
      <vt:variant>
        <vt:i4>6</vt:i4>
      </vt:variant>
      <vt:variant>
        <vt:i4>0</vt:i4>
      </vt:variant>
      <vt:variant>
        <vt:i4>5</vt:i4>
      </vt:variant>
      <vt:variant>
        <vt:lpwstr>mailto:anastasiya.savchenko@centralasiametals.com</vt:lpwstr>
      </vt:variant>
      <vt:variant>
        <vt:lpwstr/>
      </vt:variant>
      <vt:variant>
        <vt:i4>6488083</vt:i4>
      </vt:variant>
      <vt:variant>
        <vt:i4>3</vt:i4>
      </vt:variant>
      <vt:variant>
        <vt:i4>0</vt:i4>
      </vt:variant>
      <vt:variant>
        <vt:i4>5</vt:i4>
      </vt:variant>
      <vt:variant>
        <vt:lpwstr>mailto:megan.farrell@centralasiametals.com</vt:lpwstr>
      </vt:variant>
      <vt:variant>
        <vt:lpwstr/>
      </vt:variant>
      <vt:variant>
        <vt:i4>6946819</vt:i4>
      </vt:variant>
      <vt:variant>
        <vt:i4>0</vt:i4>
      </vt:variant>
      <vt:variant>
        <vt:i4>0</vt:i4>
      </vt:variant>
      <vt:variant>
        <vt:i4>5</vt:i4>
      </vt:variant>
      <vt:variant>
        <vt:lpwstr>mailto:tom.loveridge@centralasiametals.com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Loveridge</dc:creator>
  <cp:keywords/>
  <dc:description/>
  <cp:lastModifiedBy>Megan Farrell</cp:lastModifiedBy>
  <cp:revision>2</cp:revision>
  <cp:lastPrinted>2025-04-01T16:24:00Z</cp:lastPrinted>
  <dcterms:created xsi:type="dcterms:W3CDTF">2025-11-11T16:44:00Z</dcterms:created>
  <dcterms:modified xsi:type="dcterms:W3CDTF">2025-11-11T16:44:00Z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0x01010043973992D879A443B0B0B4DDD43C62DE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10;#Tom Loveridge;#38;#Anastasiya Savchenko;#6;#Megan Farrell</vt:lpwstr>
  </property>
  <property fmtid="{D5CDD505-2E9C-101B-9397-08002B2CF9AE}" pid="10" name="MediaServiceImageTags">
    <vt:lpwstr/>
  </property>
</Properties>
</file>